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2235"/>
        <w:gridCol w:w="7030"/>
      </w:tblGrid>
      <w:tr w:rsidR="00F63A8E" w:rsidRPr="0087243D" w14:paraId="6AD1CD95" w14:textId="77777777" w:rsidTr="006D1437">
        <w:trPr>
          <w:trHeight w:val="2420"/>
        </w:trPr>
        <w:tc>
          <w:tcPr>
            <w:tcW w:w="3495" w:type="dxa"/>
            <w:gridSpan w:val="2"/>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5F5AE149" w:rsidR="00F63A8E" w:rsidRPr="0087243D" w:rsidRDefault="00C42837" w:rsidP="006D14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sz w:val="20"/>
              </w:rPr>
            </w:pPr>
            <w:proofErr w:type="spellStart"/>
            <w:r w:rsidRPr="00C42837">
              <w:rPr>
                <w:rFonts w:ascii="Cambria" w:hAnsi="Cambria"/>
                <w:b/>
                <w:bCs/>
                <w:color w:val="0066FF"/>
                <w:sz w:val="40"/>
                <w:szCs w:val="40"/>
              </w:rPr>
              <w:t>Eludryl</w:t>
            </w:r>
            <w:proofErr w:type="spellEnd"/>
            <w:r w:rsidRPr="00C42837">
              <w:rPr>
                <w:rFonts w:ascii="Cambria" w:hAnsi="Cambria"/>
                <w:b/>
                <w:bCs/>
                <w:color w:val="0066FF"/>
                <w:sz w:val="40"/>
                <w:szCs w:val="40"/>
              </w:rPr>
              <w:t xml:space="preserve"> Pro as Part of a Treatment Package for the Prevention of </w:t>
            </w:r>
            <w:proofErr w:type="spellStart"/>
            <w:r w:rsidRPr="00C42837">
              <w:rPr>
                <w:rFonts w:ascii="Cambria" w:hAnsi="Cambria"/>
                <w:b/>
                <w:bCs/>
                <w:color w:val="0066FF"/>
                <w:sz w:val="40"/>
                <w:szCs w:val="40"/>
              </w:rPr>
              <w:t>Reimplantation</w:t>
            </w:r>
            <w:proofErr w:type="spellEnd"/>
          </w:p>
        </w:tc>
      </w:tr>
      <w:tr w:rsidR="00F63A8E" w:rsidRPr="0087243D" w14:paraId="09E23703" w14:textId="77777777" w:rsidTr="006D1437">
        <w:tc>
          <w:tcPr>
            <w:tcW w:w="3495" w:type="dxa"/>
            <w:gridSpan w:val="2"/>
            <w:tcBorders>
              <w:left w:val="nil"/>
            </w:tcBorders>
          </w:tcPr>
          <w:p w14:paraId="0DC8C40B" w14:textId="6BEDAB82" w:rsidR="00F63A8E" w:rsidRPr="00AD55A7" w:rsidRDefault="00C42837" w:rsidP="006D1437">
            <w:pPr>
              <w:spacing w:after="0" w:line="240" w:lineRule="auto"/>
              <w:jc w:val="center"/>
              <w:rPr>
                <w:rFonts w:ascii="Cambria" w:hAnsi="Cambria"/>
                <w:b/>
                <w:bCs/>
                <w:sz w:val="24"/>
                <w:szCs w:val="24"/>
                <w:lang w:bidi="ar-IQ"/>
              </w:rPr>
            </w:pPr>
            <w:r w:rsidRPr="00C42837">
              <w:rPr>
                <w:rFonts w:ascii="Cambria" w:hAnsi="Cambria" w:cs="Calibri"/>
                <w:b/>
                <w:bCs/>
                <w:color w:val="000000"/>
                <w:sz w:val="24"/>
                <w:szCs w:val="24"/>
              </w:rPr>
              <w:t>Ibragimov D.D.</w:t>
            </w:r>
          </w:p>
        </w:tc>
        <w:tc>
          <w:tcPr>
            <w:tcW w:w="7030" w:type="dxa"/>
            <w:tcBorders>
              <w:right w:val="nil"/>
            </w:tcBorders>
          </w:tcPr>
          <w:p w14:paraId="59681B0A" w14:textId="6138109F" w:rsidR="00F63A8E" w:rsidRPr="002651DC" w:rsidRDefault="00F63A8E" w:rsidP="002651DC">
            <w:pPr>
              <w:spacing w:after="0" w:line="240" w:lineRule="auto"/>
              <w:jc w:val="center"/>
              <w:rPr>
                <w:rFonts w:ascii="Cambria" w:hAnsi="Cambria" w:cs="Calibri"/>
                <w:b/>
                <w:bCs/>
                <w:color w:val="000000"/>
                <w:sz w:val="24"/>
                <w:szCs w:val="24"/>
              </w:rPr>
            </w:pPr>
          </w:p>
        </w:tc>
      </w:tr>
      <w:tr w:rsidR="00F63A8E" w:rsidRPr="0087243D" w14:paraId="59C33E11" w14:textId="77777777" w:rsidTr="00C42837">
        <w:trPr>
          <w:trHeight w:val="377"/>
        </w:trPr>
        <w:tc>
          <w:tcPr>
            <w:tcW w:w="3495" w:type="dxa"/>
            <w:gridSpan w:val="2"/>
            <w:tcBorders>
              <w:left w:val="nil"/>
            </w:tcBorders>
          </w:tcPr>
          <w:p w14:paraId="4665228A" w14:textId="29819880" w:rsidR="00F63A8E" w:rsidRPr="00646CB3" w:rsidRDefault="00C42837" w:rsidP="006D1437">
            <w:pPr>
              <w:spacing w:after="0" w:line="240" w:lineRule="auto"/>
              <w:ind w:right="-24"/>
              <w:jc w:val="center"/>
              <w:rPr>
                <w:rFonts w:ascii="Cambria" w:hAnsi="Cambria" w:cstheme="majorBidi"/>
                <w:b/>
                <w:bCs/>
                <w:color w:val="3B3838" w:themeColor="background2" w:themeShade="40"/>
                <w:sz w:val="24"/>
                <w:szCs w:val="24"/>
                <w:lang w:bidi="ar-AE"/>
              </w:rPr>
            </w:pPr>
            <w:proofErr w:type="spellStart"/>
            <w:r w:rsidRPr="00C42837">
              <w:rPr>
                <w:rFonts w:ascii="Cambria" w:hAnsi="Cambria" w:cs="Calibri"/>
                <w:b/>
                <w:bCs/>
                <w:color w:val="000000"/>
                <w:sz w:val="24"/>
                <w:szCs w:val="24"/>
              </w:rPr>
              <w:t>Ismatov</w:t>
            </w:r>
            <w:proofErr w:type="spellEnd"/>
            <w:r w:rsidRPr="00C42837">
              <w:rPr>
                <w:rFonts w:ascii="Cambria" w:hAnsi="Cambria" w:cs="Calibri"/>
                <w:b/>
                <w:bCs/>
                <w:color w:val="000000"/>
                <w:sz w:val="24"/>
                <w:szCs w:val="24"/>
              </w:rPr>
              <w:t xml:space="preserve"> F.A.</w:t>
            </w:r>
          </w:p>
        </w:tc>
        <w:tc>
          <w:tcPr>
            <w:tcW w:w="7030" w:type="dxa"/>
            <w:tcBorders>
              <w:right w:val="nil"/>
            </w:tcBorders>
          </w:tcPr>
          <w:p w14:paraId="3EC6554D" w14:textId="2D3757B8" w:rsidR="00F63A8E" w:rsidRPr="002651DC" w:rsidRDefault="00F63A8E" w:rsidP="002651DC">
            <w:pPr>
              <w:autoSpaceDE w:val="0"/>
              <w:autoSpaceDN w:val="0"/>
              <w:adjustRightInd w:val="0"/>
              <w:spacing w:after="0" w:line="240" w:lineRule="auto"/>
              <w:jc w:val="center"/>
              <w:rPr>
                <w:rFonts w:ascii="Cambria" w:hAnsi="Cambria" w:cs="Calibri"/>
                <w:b/>
                <w:bCs/>
                <w:color w:val="000000"/>
                <w:sz w:val="24"/>
                <w:szCs w:val="24"/>
              </w:rPr>
            </w:pPr>
          </w:p>
        </w:tc>
      </w:tr>
      <w:tr w:rsidR="00F63A8E" w:rsidRPr="0087243D" w14:paraId="26E3754D" w14:textId="77777777" w:rsidTr="00A95522">
        <w:trPr>
          <w:trHeight w:val="350"/>
        </w:trPr>
        <w:tc>
          <w:tcPr>
            <w:tcW w:w="3495" w:type="dxa"/>
            <w:gridSpan w:val="2"/>
            <w:tcBorders>
              <w:left w:val="nil"/>
            </w:tcBorders>
          </w:tcPr>
          <w:p w14:paraId="1C61EA07" w14:textId="77622364" w:rsidR="00C42837" w:rsidRPr="00A82071" w:rsidRDefault="00C42837" w:rsidP="00A95522">
            <w:pPr>
              <w:spacing w:after="0" w:line="240" w:lineRule="auto"/>
              <w:ind w:right="-24"/>
              <w:jc w:val="center"/>
              <w:rPr>
                <w:rFonts w:ascii="Cambria" w:eastAsia="Times New Roman" w:hAnsi="Cambria" w:cs="Times New Roman"/>
                <w:b/>
                <w:bCs/>
                <w:color w:val="3B3838" w:themeColor="background2" w:themeShade="40"/>
                <w:sz w:val="24"/>
                <w:szCs w:val="24"/>
                <w:vertAlign w:val="superscript"/>
              </w:rPr>
            </w:pPr>
            <w:proofErr w:type="spellStart"/>
            <w:r w:rsidRPr="00C42837">
              <w:rPr>
                <w:rFonts w:ascii="Cambria" w:hAnsi="Cambria" w:cs="Calibri"/>
                <w:b/>
                <w:bCs/>
                <w:color w:val="000000"/>
                <w:sz w:val="24"/>
                <w:szCs w:val="24"/>
              </w:rPr>
              <w:t>Narzikulov</w:t>
            </w:r>
            <w:proofErr w:type="spellEnd"/>
            <w:r w:rsidRPr="00C42837">
              <w:rPr>
                <w:rFonts w:ascii="Cambria" w:hAnsi="Cambria" w:cs="Calibri"/>
                <w:b/>
                <w:bCs/>
                <w:color w:val="000000"/>
                <w:sz w:val="24"/>
                <w:szCs w:val="24"/>
              </w:rPr>
              <w:t xml:space="preserve"> F.A.</w:t>
            </w:r>
          </w:p>
        </w:tc>
        <w:tc>
          <w:tcPr>
            <w:tcW w:w="7030" w:type="dxa"/>
            <w:tcBorders>
              <w:right w:val="nil"/>
            </w:tcBorders>
          </w:tcPr>
          <w:p w14:paraId="735BE169" w14:textId="78E03E51" w:rsidR="00F63A8E" w:rsidRPr="00DA2D24" w:rsidRDefault="00F63A8E" w:rsidP="00DA2D24">
            <w:pPr>
              <w:spacing w:after="0" w:line="240" w:lineRule="auto"/>
              <w:jc w:val="center"/>
              <w:rPr>
                <w:rFonts w:ascii="Cambria" w:hAnsi="Cambria" w:cs="Calibri"/>
                <w:color w:val="000000"/>
                <w:sz w:val="24"/>
                <w:szCs w:val="24"/>
              </w:rPr>
            </w:pPr>
          </w:p>
        </w:tc>
      </w:tr>
      <w:tr w:rsidR="00F63A8E" w:rsidRPr="0087243D" w14:paraId="3BF4A148" w14:textId="77777777" w:rsidTr="00C42837">
        <w:trPr>
          <w:cantSplit/>
          <w:trHeight w:val="1223"/>
        </w:trPr>
        <w:tc>
          <w:tcPr>
            <w:tcW w:w="1260" w:type="dxa"/>
            <w:tcBorders>
              <w:left w:val="nil"/>
            </w:tcBorders>
            <w:shd w:val="clear" w:color="auto" w:fill="0066FF"/>
            <w:textDirection w:val="btLr"/>
            <w:vAlign w:val="center"/>
          </w:tcPr>
          <w:p w14:paraId="7F17E40F" w14:textId="77777777" w:rsidR="00F63A8E" w:rsidRPr="0087243D" w:rsidRDefault="00F63A8E" w:rsidP="006D1437">
            <w:pPr>
              <w:ind w:left="113" w:right="113"/>
              <w:jc w:val="center"/>
              <w:rPr>
                <w:b/>
                <w:bCs/>
                <w:sz w:val="20"/>
              </w:rPr>
            </w:pPr>
            <w:r w:rsidRPr="0087243D">
              <w:rPr>
                <w:b/>
                <w:bCs/>
                <w:color w:val="3B3838"/>
                <w:sz w:val="20"/>
              </w:rPr>
              <w:t>ABSTRACT</w:t>
            </w:r>
          </w:p>
        </w:tc>
        <w:tc>
          <w:tcPr>
            <w:tcW w:w="9265" w:type="dxa"/>
            <w:gridSpan w:val="2"/>
            <w:tcBorders>
              <w:right w:val="nil"/>
            </w:tcBorders>
          </w:tcPr>
          <w:p w14:paraId="52951287" w14:textId="64930757" w:rsidR="00F63A8E" w:rsidRPr="00374A52" w:rsidRDefault="00C42837" w:rsidP="002651DC">
            <w:pPr>
              <w:spacing w:line="240" w:lineRule="auto"/>
              <w:ind w:hanging="14"/>
              <w:jc w:val="both"/>
              <w:rPr>
                <w:rFonts w:ascii="Cambria" w:hAnsi="Cambria"/>
                <w:color w:val="0066FF"/>
                <w:sz w:val="24"/>
                <w:szCs w:val="24"/>
              </w:rPr>
            </w:pPr>
            <w:r w:rsidRPr="00C42837">
              <w:rPr>
                <w:rFonts w:ascii="Cambria" w:hAnsi="Cambria"/>
                <w:color w:val="0066FF"/>
                <w:sz w:val="24"/>
                <w:szCs w:val="24"/>
              </w:rPr>
              <w:t xml:space="preserve">One of the urgent tasks of dentistry is the prevention and correction of dental defects. Modern methods of prosthetics are used, one of which is the implant method. In spite of the modern technology in this method, there are complications, the most frequent of which are maxillary sinusitis (45,3%), neuritis (35,5%), </w:t>
            </w:r>
            <w:proofErr w:type="spellStart"/>
            <w:r w:rsidRPr="00C42837">
              <w:rPr>
                <w:rFonts w:ascii="Cambria" w:hAnsi="Cambria"/>
                <w:color w:val="0066FF"/>
                <w:sz w:val="24"/>
                <w:szCs w:val="24"/>
              </w:rPr>
              <w:t>peri-implantitis</w:t>
            </w:r>
            <w:proofErr w:type="spellEnd"/>
            <w:r w:rsidRPr="00C42837">
              <w:rPr>
                <w:rFonts w:ascii="Cambria" w:hAnsi="Cambria"/>
                <w:color w:val="0066FF"/>
                <w:sz w:val="24"/>
                <w:szCs w:val="24"/>
              </w:rPr>
              <w:t xml:space="preserve"> (19,2%).</w:t>
            </w:r>
          </w:p>
        </w:tc>
      </w:tr>
      <w:tr w:rsidR="00F63A8E" w:rsidRPr="0087243D" w14:paraId="13E4EC81" w14:textId="77777777" w:rsidTr="006D1437">
        <w:trPr>
          <w:cantSplit/>
          <w:trHeight w:val="446"/>
        </w:trPr>
        <w:tc>
          <w:tcPr>
            <w:tcW w:w="3495" w:type="dxa"/>
            <w:gridSpan w:val="2"/>
            <w:tcBorders>
              <w:left w:val="nil"/>
            </w:tcBorders>
            <w:vAlign w:val="center"/>
          </w:tcPr>
          <w:p w14:paraId="32DC11A3" w14:textId="77777777" w:rsidR="00F63A8E" w:rsidRPr="00032700" w:rsidRDefault="00F63A8E" w:rsidP="006D1437">
            <w:pPr>
              <w:spacing w:after="0" w:line="240" w:lineRule="auto"/>
              <w:jc w:val="center"/>
              <w:rPr>
                <w:rFonts w:ascii="Cambria" w:hAnsi="Cambria"/>
                <w:b/>
                <w:bCs/>
                <w:color w:val="0066FF"/>
                <w:sz w:val="24"/>
                <w:szCs w:val="24"/>
              </w:rPr>
            </w:pPr>
            <w:r w:rsidRPr="00032700">
              <w:rPr>
                <w:rFonts w:ascii="Cambria" w:hAnsi="Cambria"/>
                <w:b/>
                <w:bCs/>
                <w:color w:val="0066FF"/>
                <w:sz w:val="24"/>
                <w:szCs w:val="24"/>
              </w:rPr>
              <w:t>Keywords:</w:t>
            </w:r>
          </w:p>
        </w:tc>
        <w:tc>
          <w:tcPr>
            <w:tcW w:w="7030" w:type="dxa"/>
            <w:tcBorders>
              <w:right w:val="nil"/>
            </w:tcBorders>
          </w:tcPr>
          <w:p w14:paraId="3F9D62D2" w14:textId="6A61558B" w:rsidR="00F63A8E" w:rsidRPr="004A56F5" w:rsidRDefault="00C42837" w:rsidP="00DA2D24">
            <w:pPr>
              <w:spacing w:after="0" w:line="240" w:lineRule="auto"/>
              <w:contextualSpacing/>
              <w:rPr>
                <w:rFonts w:ascii="Cambria" w:hAnsi="Cambria"/>
                <w:color w:val="0066FF"/>
                <w:sz w:val="24"/>
                <w:szCs w:val="24"/>
              </w:rPr>
            </w:pPr>
            <w:proofErr w:type="spellStart"/>
            <w:r w:rsidRPr="00C42837">
              <w:rPr>
                <w:rFonts w:ascii="Cambria" w:hAnsi="Cambria"/>
                <w:color w:val="0066FF"/>
                <w:sz w:val="24"/>
                <w:szCs w:val="24"/>
              </w:rPr>
              <w:t>implantology</w:t>
            </w:r>
            <w:proofErr w:type="spellEnd"/>
            <w:r w:rsidRPr="00C42837">
              <w:rPr>
                <w:rFonts w:ascii="Cambria" w:hAnsi="Cambria"/>
                <w:color w:val="0066FF"/>
                <w:sz w:val="24"/>
                <w:szCs w:val="24"/>
              </w:rPr>
              <w:t xml:space="preserve">, </w:t>
            </w:r>
            <w:proofErr w:type="spellStart"/>
            <w:r w:rsidRPr="00C42837">
              <w:rPr>
                <w:rFonts w:ascii="Cambria" w:hAnsi="Cambria"/>
                <w:color w:val="0066FF"/>
                <w:sz w:val="24"/>
                <w:szCs w:val="24"/>
              </w:rPr>
              <w:t>peri-implantitis</w:t>
            </w:r>
            <w:proofErr w:type="spellEnd"/>
            <w:r w:rsidRPr="00C42837">
              <w:rPr>
                <w:rFonts w:ascii="Cambria" w:hAnsi="Cambria"/>
                <w:color w:val="0066FF"/>
                <w:sz w:val="24"/>
                <w:szCs w:val="24"/>
              </w:rPr>
              <w:t>, dental defects.</w:t>
            </w:r>
          </w:p>
        </w:tc>
      </w:tr>
      <w:bookmarkEnd w:id="1"/>
      <w:bookmarkEnd w:id="2"/>
      <w:bookmarkEnd w:id="3"/>
      <w:bookmarkEnd w:id="4"/>
    </w:tbl>
    <w:p w14:paraId="126128C7" w14:textId="77777777" w:rsidR="005A02E9" w:rsidRDefault="005A02E9" w:rsidP="005A02E9">
      <w:pPr>
        <w:spacing w:after="0" w:line="240" w:lineRule="auto"/>
        <w:jc w:val="both"/>
        <w:rPr>
          <w:rFonts w:ascii="Cambria" w:hAnsi="Cambria" w:cstheme="majorBidi"/>
          <w:b/>
          <w:bCs/>
          <w:sz w:val="24"/>
          <w:szCs w:val="24"/>
        </w:rPr>
      </w:pPr>
    </w:p>
    <w:p w14:paraId="346618C9" w14:textId="77777777" w:rsidR="005A02E9" w:rsidRDefault="005A02E9" w:rsidP="005A02E9">
      <w:pPr>
        <w:spacing w:after="0" w:line="240" w:lineRule="auto"/>
        <w:jc w:val="both"/>
        <w:rPr>
          <w:rFonts w:ascii="Cambria" w:hAnsi="Cambria" w:cstheme="majorBidi"/>
          <w:b/>
          <w:bCs/>
          <w:sz w:val="24"/>
          <w:szCs w:val="24"/>
        </w:rPr>
        <w:sectPr w:rsidR="005A02E9" w:rsidSect="00A95522">
          <w:headerReference w:type="default" r:id="rId9"/>
          <w:footerReference w:type="default" r:id="rId10"/>
          <w:pgSz w:w="11906" w:h="16838" w:code="9"/>
          <w:pgMar w:top="720" w:right="720" w:bottom="720" w:left="720" w:header="709" w:footer="709" w:gutter="0"/>
          <w:pgNumType w:start="41"/>
          <w:cols w:space="708"/>
          <w:docGrid w:linePitch="360"/>
        </w:sectPr>
      </w:pPr>
    </w:p>
    <w:p w14:paraId="688FC4FC" w14:textId="02D3CCB7" w:rsidR="002D33B5" w:rsidRPr="005A02E9" w:rsidRDefault="002D33B5" w:rsidP="005A02E9">
      <w:pPr>
        <w:spacing w:after="0" w:line="240" w:lineRule="auto"/>
        <w:jc w:val="both"/>
        <w:rPr>
          <w:rFonts w:ascii="Cambria" w:hAnsi="Cambria" w:cstheme="majorBidi"/>
          <w:b/>
          <w:bCs/>
          <w:sz w:val="24"/>
          <w:szCs w:val="24"/>
        </w:rPr>
      </w:pPr>
      <w:r w:rsidRPr="005A02E9">
        <w:rPr>
          <w:rFonts w:ascii="Cambria" w:hAnsi="Cambria" w:cstheme="majorBidi"/>
          <w:b/>
          <w:bCs/>
          <w:sz w:val="24"/>
          <w:szCs w:val="24"/>
        </w:rPr>
        <w:lastRenderedPageBreak/>
        <w:t xml:space="preserve">Introduction </w:t>
      </w:r>
    </w:p>
    <w:p w14:paraId="700E5F4D" w14:textId="77777777" w:rsidR="00C42837" w:rsidRPr="00C42837" w:rsidRDefault="00C42837"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Despite the advances achieved in dental </w:t>
      </w:r>
      <w:proofErr w:type="spellStart"/>
      <w:r w:rsidRPr="00C42837">
        <w:rPr>
          <w:rFonts w:ascii="Cambria" w:hAnsi="Cambria" w:cstheme="majorBidi"/>
          <w:sz w:val="24"/>
          <w:szCs w:val="24"/>
          <w:shd w:val="clear" w:color="auto" w:fill="FFFFFF"/>
        </w:rPr>
        <w:t>implantology</w:t>
      </w:r>
      <w:proofErr w:type="spellEnd"/>
      <w:r w:rsidRPr="00C42837">
        <w:rPr>
          <w:rFonts w:ascii="Cambria" w:hAnsi="Cambria" w:cstheme="majorBidi"/>
          <w:sz w:val="24"/>
          <w:szCs w:val="24"/>
          <w:shd w:val="clear" w:color="auto" w:fill="FFFFFF"/>
        </w:rPr>
        <w:t>, we still have a relatively high rate of postoperative complications (10% to 18%) related to trauma, wound injury and aseptic inflammation (</w:t>
      </w:r>
      <w:proofErr w:type="spellStart"/>
      <w:r w:rsidRPr="00C42837">
        <w:rPr>
          <w:rFonts w:ascii="Cambria" w:hAnsi="Cambria" w:cstheme="majorBidi"/>
          <w:sz w:val="24"/>
          <w:szCs w:val="24"/>
          <w:shd w:val="clear" w:color="auto" w:fill="FFFFFF"/>
        </w:rPr>
        <w:t>peri-implantitis</w:t>
      </w:r>
      <w:proofErr w:type="spellEnd"/>
      <w:r w:rsidRPr="00C42837">
        <w:rPr>
          <w:rFonts w:ascii="Cambria" w:hAnsi="Cambria" w:cstheme="majorBidi"/>
          <w:sz w:val="24"/>
          <w:szCs w:val="24"/>
          <w:shd w:val="clear" w:color="auto" w:fill="FFFFFF"/>
        </w:rPr>
        <w:t>), leading to implant rejection.</w:t>
      </w:r>
    </w:p>
    <w:p w14:paraId="726B0C6C" w14:textId="5A1A4ABC" w:rsidR="00C42837" w:rsidRPr="00C42837" w:rsidRDefault="00C42837"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Currently, </w:t>
      </w:r>
      <w:proofErr w:type="spellStart"/>
      <w:r w:rsidRPr="00C42837">
        <w:rPr>
          <w:rFonts w:ascii="Cambria" w:hAnsi="Cambria" w:cstheme="majorBidi"/>
          <w:sz w:val="24"/>
          <w:szCs w:val="24"/>
          <w:shd w:val="clear" w:color="auto" w:fill="FFFFFF"/>
        </w:rPr>
        <w:t>peri-implantitis</w:t>
      </w:r>
      <w:proofErr w:type="spellEnd"/>
      <w:r w:rsidRPr="00C42837">
        <w:rPr>
          <w:rFonts w:ascii="Cambria" w:hAnsi="Cambria" w:cstheme="majorBidi"/>
          <w:sz w:val="24"/>
          <w:szCs w:val="24"/>
          <w:shd w:val="clear" w:color="auto" w:fill="FFFFFF"/>
        </w:rPr>
        <w:t xml:space="preserve"> is usually defined as an inflammatory process in the gingival cuff and a limited area of the implant-bone interface, accompanied by bone resorption, formation of bone pockets and replacement of the resorbed areas with granulation tissue in the inflamed area.</w:t>
      </w:r>
    </w:p>
    <w:p w14:paraId="0FC88A64" w14:textId="100B1490" w:rsidR="00C42837" w:rsidRPr="00C42837" w:rsidRDefault="00C42837"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The cause of the inflammatory process may be a violation of the barrier function of the gingival cuff due to poor oral hygiene, cement residues in the gingival cuff during implant fixation, chronic trauma to the gingival cuff due to improperly planned and performed prosthetics, excessive functional load on the bone tissue surrounding the implant, or violations of the buffer function of the vestibule of the mouth. In view of the above mentioned, the search for modern antiseptic preparations with high anti-inflammatory, antibacterial wound healing ability and bone-forming properties is of particular importance in the practice of surgical </w:t>
      </w:r>
      <w:r w:rsidRPr="00C42837">
        <w:rPr>
          <w:rFonts w:ascii="Cambria" w:hAnsi="Cambria" w:cstheme="majorBidi"/>
          <w:sz w:val="24"/>
          <w:szCs w:val="24"/>
          <w:shd w:val="clear" w:color="auto" w:fill="FFFFFF"/>
        </w:rPr>
        <w:lastRenderedPageBreak/>
        <w:t xml:space="preserve">dentistry. The aim of this work is to show the results of complex treatment with the antiseptic </w:t>
      </w:r>
      <w:proofErr w:type="spellStart"/>
      <w:r w:rsidRPr="00C42837">
        <w:rPr>
          <w:rFonts w:ascii="Cambria" w:hAnsi="Cambria" w:cstheme="majorBidi"/>
          <w:sz w:val="24"/>
          <w:szCs w:val="24"/>
          <w:shd w:val="clear" w:color="auto" w:fill="FFFFFF"/>
        </w:rPr>
        <w:t>Eludril</w:t>
      </w:r>
      <w:proofErr w:type="spellEnd"/>
      <w:r w:rsidRPr="00C42837">
        <w:rPr>
          <w:rFonts w:ascii="Cambria" w:hAnsi="Cambria" w:cstheme="majorBidi"/>
          <w:sz w:val="24"/>
          <w:szCs w:val="24"/>
          <w:shd w:val="clear" w:color="auto" w:fill="FFFFFF"/>
        </w:rPr>
        <w:t xml:space="preserve"> pro solution for prevention of </w:t>
      </w:r>
      <w:proofErr w:type="spellStart"/>
      <w:r w:rsidRPr="00C42837">
        <w:rPr>
          <w:rFonts w:ascii="Cambria" w:hAnsi="Cambria" w:cstheme="majorBidi"/>
          <w:sz w:val="24"/>
          <w:szCs w:val="24"/>
          <w:shd w:val="clear" w:color="auto" w:fill="FFFFFF"/>
        </w:rPr>
        <w:t>reimplantitis</w:t>
      </w:r>
      <w:proofErr w:type="spellEnd"/>
      <w:r w:rsidRPr="00C42837">
        <w:rPr>
          <w:rFonts w:ascii="Cambria" w:hAnsi="Cambria" w:cstheme="majorBidi"/>
          <w:sz w:val="24"/>
          <w:szCs w:val="24"/>
          <w:shd w:val="clear" w:color="auto" w:fill="FFFFFF"/>
        </w:rPr>
        <w:t>.</w:t>
      </w:r>
    </w:p>
    <w:p w14:paraId="6C8DBFA1" w14:textId="77777777" w:rsidR="00190293" w:rsidRDefault="00190293" w:rsidP="00C42837">
      <w:pPr>
        <w:spacing w:after="0" w:line="240" w:lineRule="auto"/>
        <w:jc w:val="both"/>
        <w:rPr>
          <w:rFonts w:ascii="Cambria" w:hAnsi="Cambria" w:cstheme="majorBidi"/>
          <w:sz w:val="24"/>
          <w:szCs w:val="24"/>
          <w:shd w:val="clear" w:color="auto" w:fill="FFFFFF"/>
        </w:rPr>
      </w:pPr>
    </w:p>
    <w:p w14:paraId="12CF49B1" w14:textId="31DD4D36" w:rsidR="00190293" w:rsidRPr="00190293" w:rsidRDefault="00C42837" w:rsidP="00C42837">
      <w:pPr>
        <w:spacing w:after="0" w:line="240" w:lineRule="auto"/>
        <w:jc w:val="both"/>
        <w:rPr>
          <w:rFonts w:ascii="Cambria" w:hAnsi="Cambria" w:cstheme="majorBidi"/>
          <w:b/>
          <w:sz w:val="24"/>
          <w:szCs w:val="24"/>
          <w:shd w:val="clear" w:color="auto" w:fill="FFFFFF"/>
        </w:rPr>
      </w:pPr>
      <w:bookmarkStart w:id="5" w:name="_GoBack"/>
      <w:r w:rsidRPr="00190293">
        <w:rPr>
          <w:rFonts w:ascii="Cambria" w:hAnsi="Cambria" w:cstheme="majorBidi"/>
          <w:b/>
          <w:sz w:val="24"/>
          <w:szCs w:val="24"/>
          <w:shd w:val="clear" w:color="auto" w:fill="FFFFFF"/>
        </w:rPr>
        <w:t xml:space="preserve">Material and </w:t>
      </w:r>
      <w:r w:rsidR="00190293" w:rsidRPr="00190293">
        <w:rPr>
          <w:rFonts w:ascii="Cambria" w:hAnsi="Cambria" w:cstheme="majorBidi"/>
          <w:b/>
          <w:sz w:val="24"/>
          <w:szCs w:val="24"/>
          <w:shd w:val="clear" w:color="auto" w:fill="FFFFFF"/>
        </w:rPr>
        <w:t xml:space="preserve">Methods </w:t>
      </w:r>
      <w:r w:rsidRPr="00190293">
        <w:rPr>
          <w:rFonts w:ascii="Cambria" w:hAnsi="Cambria" w:cstheme="majorBidi"/>
          <w:b/>
          <w:sz w:val="24"/>
          <w:szCs w:val="24"/>
          <w:shd w:val="clear" w:color="auto" w:fill="FFFFFF"/>
        </w:rPr>
        <w:t xml:space="preserve">of </w:t>
      </w:r>
      <w:r w:rsidR="00190293" w:rsidRPr="00190293">
        <w:rPr>
          <w:rFonts w:ascii="Cambria" w:hAnsi="Cambria" w:cstheme="majorBidi"/>
          <w:b/>
          <w:sz w:val="24"/>
          <w:szCs w:val="24"/>
          <w:shd w:val="clear" w:color="auto" w:fill="FFFFFF"/>
        </w:rPr>
        <w:t>Research</w:t>
      </w:r>
    </w:p>
    <w:bookmarkEnd w:id="5"/>
    <w:p w14:paraId="1B71DB3F" w14:textId="52B55D76" w:rsidR="00C42837" w:rsidRPr="00C42837" w:rsidRDefault="00C42837"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Examination and treatment of patients were carried out on the clinical base of the department of maxillofacial surgery of Samarkand State Medical Institute in the specialized department of maxillofacial surgery of Samarkand City Medical Association. In accordance with the intended purpose of the study, we conducted a comprehensive examination of patients with inflammatory diseases of the TMJ in the dynamics of treatment with the drug, approved for use in the practice of health care - antiseptic solution </w:t>
      </w:r>
      <w:proofErr w:type="spellStart"/>
      <w:r w:rsidRPr="00C42837">
        <w:rPr>
          <w:rFonts w:ascii="Cambria" w:hAnsi="Cambria" w:cstheme="majorBidi"/>
          <w:sz w:val="24"/>
          <w:szCs w:val="24"/>
          <w:shd w:val="clear" w:color="auto" w:fill="FFFFFF"/>
        </w:rPr>
        <w:t>Eludril</w:t>
      </w:r>
      <w:proofErr w:type="spellEnd"/>
      <w:r w:rsidRPr="00C42837">
        <w:rPr>
          <w:rFonts w:ascii="Cambria" w:hAnsi="Cambria" w:cstheme="majorBidi"/>
          <w:sz w:val="24"/>
          <w:szCs w:val="24"/>
          <w:shd w:val="clear" w:color="auto" w:fill="FFFFFF"/>
        </w:rPr>
        <w:t xml:space="preserve"> - pro. In 18 patients in the period 2021 after the implantation of the lower and upper jaw. Microbiological examination was carried out after the jaw implant surgery and in the dynamics of the disease. Clinical examination was carried out according to the standard scheme and included the interview of patients, collection of medical and life history, physical examination methods (examination, palpation, percussion) and instrumental, additional </w:t>
      </w:r>
      <w:r w:rsidRPr="00C42837">
        <w:rPr>
          <w:rFonts w:ascii="Cambria" w:hAnsi="Cambria" w:cstheme="majorBidi"/>
          <w:sz w:val="24"/>
          <w:szCs w:val="24"/>
          <w:shd w:val="clear" w:color="auto" w:fill="FFFFFF"/>
        </w:rPr>
        <w:lastRenderedPageBreak/>
        <w:t xml:space="preserve">methods of investigation (laboratory, microbiological, radiological examination), as well as consultation with specialists. </w:t>
      </w:r>
    </w:p>
    <w:p w14:paraId="488823C2" w14:textId="77777777" w:rsidR="00EE3068" w:rsidRDefault="00EE3068" w:rsidP="00C42837">
      <w:pPr>
        <w:spacing w:after="0" w:line="240" w:lineRule="auto"/>
        <w:jc w:val="both"/>
        <w:rPr>
          <w:rFonts w:ascii="Cambria" w:hAnsi="Cambria" w:cstheme="majorBidi"/>
          <w:sz w:val="24"/>
          <w:szCs w:val="24"/>
          <w:shd w:val="clear" w:color="auto" w:fill="FFFFFF"/>
        </w:rPr>
      </w:pPr>
    </w:p>
    <w:p w14:paraId="5F06649D" w14:textId="0C6621AB" w:rsidR="00EE3068" w:rsidRPr="00EE3068" w:rsidRDefault="00EE3068" w:rsidP="00C42837">
      <w:pPr>
        <w:spacing w:after="0" w:line="240" w:lineRule="auto"/>
        <w:jc w:val="both"/>
        <w:rPr>
          <w:rFonts w:ascii="Cambria" w:hAnsi="Cambria" w:cstheme="majorBidi"/>
          <w:b/>
          <w:sz w:val="24"/>
          <w:szCs w:val="24"/>
          <w:shd w:val="clear" w:color="auto" w:fill="FFFFFF"/>
        </w:rPr>
      </w:pPr>
      <w:r w:rsidRPr="00EE3068">
        <w:rPr>
          <w:rFonts w:ascii="Cambria" w:hAnsi="Cambria" w:cstheme="majorBidi"/>
          <w:b/>
          <w:sz w:val="24"/>
          <w:szCs w:val="24"/>
          <w:shd w:val="clear" w:color="auto" w:fill="FFFFFF"/>
        </w:rPr>
        <w:t>Results of the Research</w:t>
      </w:r>
    </w:p>
    <w:p w14:paraId="79F4CD36" w14:textId="6BB02B55" w:rsidR="00C42837" w:rsidRPr="00C42837" w:rsidRDefault="00EE3068"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Study </w:t>
      </w:r>
      <w:r w:rsidR="00C42837" w:rsidRPr="00C42837">
        <w:rPr>
          <w:rFonts w:ascii="Cambria" w:hAnsi="Cambria" w:cstheme="majorBidi"/>
          <w:sz w:val="24"/>
          <w:szCs w:val="24"/>
          <w:shd w:val="clear" w:color="auto" w:fill="FFFFFF"/>
        </w:rPr>
        <w:t xml:space="preserve">of features of clinical course in patients with purulent-inflammatory diseases of maxillofacial area showed that therapy by </w:t>
      </w:r>
      <w:proofErr w:type="spellStart"/>
      <w:r w:rsidR="00C42837" w:rsidRPr="00C42837">
        <w:rPr>
          <w:rFonts w:ascii="Cambria" w:hAnsi="Cambria" w:cstheme="majorBidi"/>
          <w:sz w:val="24"/>
          <w:szCs w:val="24"/>
          <w:shd w:val="clear" w:color="auto" w:fill="FFFFFF"/>
        </w:rPr>
        <w:t>Eludril</w:t>
      </w:r>
      <w:proofErr w:type="spellEnd"/>
      <w:r w:rsidR="00C42837" w:rsidRPr="00C42837">
        <w:rPr>
          <w:rFonts w:ascii="Cambria" w:hAnsi="Cambria" w:cstheme="majorBidi"/>
          <w:sz w:val="24"/>
          <w:szCs w:val="24"/>
          <w:shd w:val="clear" w:color="auto" w:fill="FFFFFF"/>
        </w:rPr>
        <w:t xml:space="preserve"> pro drug provides the fastest recovery due to anti-inflammatory, anti-</w:t>
      </w:r>
      <w:r>
        <w:rPr>
          <w:rFonts w:ascii="Cambria" w:hAnsi="Cambria" w:cstheme="majorBidi"/>
          <w:sz w:val="24"/>
          <w:szCs w:val="24"/>
          <w:shd w:val="clear" w:color="auto" w:fill="FFFFFF"/>
        </w:rPr>
        <w:t xml:space="preserve"> </w:t>
      </w:r>
      <w:r w:rsidR="00C42837" w:rsidRPr="00C42837">
        <w:rPr>
          <w:rFonts w:ascii="Cambria" w:hAnsi="Cambria" w:cstheme="majorBidi"/>
          <w:sz w:val="24"/>
          <w:szCs w:val="24"/>
          <w:shd w:val="clear" w:color="auto" w:fill="FFFFFF"/>
        </w:rPr>
        <w:t xml:space="preserve">exudative, </w:t>
      </w:r>
      <w:proofErr w:type="spellStart"/>
      <w:r w:rsidR="00C42837" w:rsidRPr="00C42837">
        <w:rPr>
          <w:rFonts w:ascii="Cambria" w:hAnsi="Cambria" w:cstheme="majorBidi"/>
          <w:sz w:val="24"/>
          <w:szCs w:val="24"/>
          <w:shd w:val="clear" w:color="auto" w:fill="FFFFFF"/>
        </w:rPr>
        <w:t>immunostimulating</w:t>
      </w:r>
      <w:proofErr w:type="spellEnd"/>
      <w:r w:rsidR="00C42837" w:rsidRPr="00C42837">
        <w:rPr>
          <w:rFonts w:ascii="Cambria" w:hAnsi="Cambria" w:cstheme="majorBidi"/>
          <w:sz w:val="24"/>
          <w:szCs w:val="24"/>
          <w:shd w:val="clear" w:color="auto" w:fill="FFFFFF"/>
        </w:rPr>
        <w:t xml:space="preserve">, regenerating, analgesic, anti-hemorrhagic, </w:t>
      </w:r>
      <w:proofErr w:type="spellStart"/>
      <w:r w:rsidR="00C42837" w:rsidRPr="00C42837">
        <w:rPr>
          <w:rFonts w:ascii="Cambria" w:hAnsi="Cambria" w:cstheme="majorBidi"/>
          <w:sz w:val="24"/>
          <w:szCs w:val="24"/>
          <w:shd w:val="clear" w:color="auto" w:fill="FFFFFF"/>
        </w:rPr>
        <w:t>venotonic</w:t>
      </w:r>
      <w:proofErr w:type="spellEnd"/>
      <w:r w:rsidR="00C42837" w:rsidRPr="00C42837">
        <w:rPr>
          <w:rFonts w:ascii="Cambria" w:hAnsi="Cambria" w:cstheme="majorBidi"/>
          <w:sz w:val="24"/>
          <w:szCs w:val="24"/>
          <w:shd w:val="clear" w:color="auto" w:fill="FFFFFF"/>
        </w:rPr>
        <w:t xml:space="preserve"> action. </w:t>
      </w:r>
    </w:p>
    <w:p w14:paraId="2E255330" w14:textId="77777777" w:rsidR="00EE3068" w:rsidRDefault="00EE3068" w:rsidP="00C42837">
      <w:pPr>
        <w:spacing w:after="0" w:line="240" w:lineRule="auto"/>
        <w:jc w:val="both"/>
        <w:rPr>
          <w:rFonts w:ascii="Cambria" w:hAnsi="Cambria" w:cstheme="majorBidi"/>
          <w:sz w:val="24"/>
          <w:szCs w:val="24"/>
          <w:shd w:val="clear" w:color="auto" w:fill="FFFFFF"/>
        </w:rPr>
      </w:pPr>
    </w:p>
    <w:p w14:paraId="00397B6E" w14:textId="79E5F7CE" w:rsidR="00EE3068" w:rsidRPr="00EE3068" w:rsidRDefault="00EE3068" w:rsidP="00C42837">
      <w:pPr>
        <w:spacing w:after="0" w:line="240" w:lineRule="auto"/>
        <w:jc w:val="both"/>
        <w:rPr>
          <w:rFonts w:ascii="Cambria" w:hAnsi="Cambria" w:cstheme="majorBidi"/>
          <w:b/>
          <w:sz w:val="24"/>
          <w:szCs w:val="24"/>
          <w:shd w:val="clear" w:color="auto" w:fill="FFFFFF"/>
        </w:rPr>
      </w:pPr>
      <w:r w:rsidRPr="00EE3068">
        <w:rPr>
          <w:rFonts w:ascii="Cambria" w:hAnsi="Cambria" w:cstheme="majorBidi"/>
          <w:b/>
          <w:sz w:val="24"/>
          <w:szCs w:val="24"/>
          <w:shd w:val="clear" w:color="auto" w:fill="FFFFFF"/>
        </w:rPr>
        <w:t>Conclusions</w:t>
      </w:r>
    </w:p>
    <w:p w14:paraId="3F717BD7" w14:textId="3E3E89CE" w:rsidR="00C42837" w:rsidRPr="00C42837" w:rsidRDefault="00C42837" w:rsidP="00C42837">
      <w:pPr>
        <w:spacing w:after="0" w:line="240" w:lineRule="auto"/>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Thus, the use of antiseptic solution </w:t>
      </w:r>
      <w:proofErr w:type="spellStart"/>
      <w:r w:rsidRPr="00C42837">
        <w:rPr>
          <w:rFonts w:ascii="Cambria" w:hAnsi="Cambria" w:cstheme="majorBidi"/>
          <w:sz w:val="24"/>
          <w:szCs w:val="24"/>
          <w:shd w:val="clear" w:color="auto" w:fill="FFFFFF"/>
        </w:rPr>
        <w:t>Eludril</w:t>
      </w:r>
      <w:proofErr w:type="spellEnd"/>
      <w:r w:rsidRPr="00C42837">
        <w:rPr>
          <w:rFonts w:ascii="Cambria" w:hAnsi="Cambria" w:cstheme="majorBidi"/>
          <w:sz w:val="24"/>
          <w:szCs w:val="24"/>
          <w:shd w:val="clear" w:color="auto" w:fill="FFFFFF"/>
        </w:rPr>
        <w:t xml:space="preserve"> pro in the complex treatment of patients after upper and lower jaw implantation surgery improved the condition of patients and prevented the development of </w:t>
      </w:r>
      <w:proofErr w:type="spellStart"/>
      <w:r w:rsidRPr="00C42837">
        <w:rPr>
          <w:rFonts w:ascii="Cambria" w:hAnsi="Cambria" w:cstheme="majorBidi"/>
          <w:sz w:val="24"/>
          <w:szCs w:val="24"/>
          <w:shd w:val="clear" w:color="auto" w:fill="FFFFFF"/>
        </w:rPr>
        <w:t>pyo</w:t>
      </w:r>
      <w:proofErr w:type="spellEnd"/>
      <w:r w:rsidRPr="00C42837">
        <w:rPr>
          <w:rFonts w:ascii="Cambria" w:hAnsi="Cambria" w:cstheme="majorBidi"/>
          <w:sz w:val="24"/>
          <w:szCs w:val="24"/>
          <w:shd w:val="clear" w:color="auto" w:fill="FFFFFF"/>
        </w:rPr>
        <w:t xml:space="preserve">-inflammatory complications. Microbiological examination shows that application of the preparation in complex treatment gives decrease of </w:t>
      </w:r>
      <w:proofErr w:type="gramStart"/>
      <w:r w:rsidRPr="00C42837">
        <w:rPr>
          <w:rFonts w:ascii="Cambria" w:hAnsi="Cambria" w:cstheme="majorBidi"/>
          <w:sz w:val="24"/>
          <w:szCs w:val="24"/>
          <w:shd w:val="clear" w:color="auto" w:fill="FFFFFF"/>
        </w:rPr>
        <w:t>microorganisms</w:t>
      </w:r>
      <w:proofErr w:type="gramEnd"/>
      <w:r w:rsidRPr="00C42837">
        <w:rPr>
          <w:rFonts w:ascii="Cambria" w:hAnsi="Cambria" w:cstheme="majorBidi"/>
          <w:sz w:val="24"/>
          <w:szCs w:val="24"/>
          <w:shd w:val="clear" w:color="auto" w:fill="FFFFFF"/>
        </w:rPr>
        <w:t xml:space="preserve"> number after implantation surgery and in dynamics of the disease, also it helped to faster healing of the implant after surgery.</w:t>
      </w:r>
    </w:p>
    <w:p w14:paraId="5259AA89" w14:textId="77777777" w:rsidR="00C42837" w:rsidRDefault="00C42837" w:rsidP="00C42837">
      <w:pPr>
        <w:spacing w:after="0" w:line="240" w:lineRule="auto"/>
        <w:jc w:val="both"/>
        <w:rPr>
          <w:rFonts w:ascii="Cambria" w:hAnsi="Cambria" w:cstheme="majorBidi"/>
          <w:sz w:val="24"/>
          <w:szCs w:val="24"/>
          <w:shd w:val="clear" w:color="auto" w:fill="FFFFFF"/>
        </w:rPr>
      </w:pPr>
    </w:p>
    <w:p w14:paraId="7FA8BE3E" w14:textId="286340CF" w:rsidR="00C42837" w:rsidRPr="00C42837" w:rsidRDefault="00C42837" w:rsidP="00C42837">
      <w:pPr>
        <w:spacing w:after="0" w:line="240" w:lineRule="auto"/>
        <w:jc w:val="both"/>
        <w:rPr>
          <w:rFonts w:ascii="Cambria" w:hAnsi="Cambria" w:cstheme="majorBidi"/>
          <w:b/>
          <w:sz w:val="24"/>
          <w:szCs w:val="24"/>
          <w:shd w:val="clear" w:color="auto" w:fill="FFFFFF"/>
        </w:rPr>
      </w:pPr>
      <w:r>
        <w:rPr>
          <w:rFonts w:ascii="Cambria" w:hAnsi="Cambria" w:cstheme="majorBidi"/>
          <w:b/>
          <w:sz w:val="24"/>
          <w:szCs w:val="24"/>
          <w:shd w:val="clear" w:color="auto" w:fill="FFFFFF"/>
        </w:rPr>
        <w:t>Literature</w:t>
      </w:r>
    </w:p>
    <w:p w14:paraId="07975A3F" w14:textId="756D2463"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C42837">
        <w:rPr>
          <w:rFonts w:ascii="Cambria" w:hAnsi="Cambria" w:cstheme="majorBidi"/>
          <w:sz w:val="24"/>
          <w:szCs w:val="24"/>
          <w:shd w:val="clear" w:color="auto" w:fill="FFFFFF"/>
        </w:rPr>
        <w:t>Gaifullina</w:t>
      </w:r>
      <w:proofErr w:type="spellEnd"/>
      <w:r w:rsidRPr="00C42837">
        <w:rPr>
          <w:rFonts w:ascii="Cambria" w:hAnsi="Cambria" w:cstheme="majorBidi"/>
          <w:sz w:val="24"/>
          <w:szCs w:val="24"/>
          <w:shd w:val="clear" w:color="auto" w:fill="FFFFFF"/>
        </w:rPr>
        <w:t xml:space="preserve"> S.V., </w:t>
      </w:r>
      <w:proofErr w:type="spellStart"/>
      <w:r w:rsidRPr="00C42837">
        <w:rPr>
          <w:rFonts w:ascii="Cambria" w:hAnsi="Cambria" w:cstheme="majorBidi"/>
          <w:sz w:val="24"/>
          <w:szCs w:val="24"/>
          <w:shd w:val="clear" w:color="auto" w:fill="FFFFFF"/>
        </w:rPr>
        <w:t>Molchanov</w:t>
      </w:r>
      <w:proofErr w:type="spellEnd"/>
      <w:r w:rsidRPr="00C42837">
        <w:rPr>
          <w:rFonts w:ascii="Cambria" w:hAnsi="Cambria" w:cstheme="majorBidi"/>
          <w:sz w:val="24"/>
          <w:szCs w:val="24"/>
          <w:shd w:val="clear" w:color="auto" w:fill="FFFFFF"/>
        </w:rPr>
        <w:t xml:space="preserve"> N.A., </w:t>
      </w:r>
      <w:proofErr w:type="spellStart"/>
      <w:r w:rsidRPr="00C42837">
        <w:rPr>
          <w:rFonts w:ascii="Cambria" w:hAnsi="Cambria" w:cstheme="majorBidi"/>
          <w:sz w:val="24"/>
          <w:szCs w:val="24"/>
          <w:shd w:val="clear" w:color="auto" w:fill="FFFFFF"/>
        </w:rPr>
        <w:t>Olesova</w:t>
      </w:r>
      <w:proofErr w:type="spellEnd"/>
      <w:r w:rsidRPr="00C42837">
        <w:rPr>
          <w:rFonts w:ascii="Cambria" w:hAnsi="Cambria" w:cstheme="majorBidi"/>
          <w:sz w:val="24"/>
          <w:szCs w:val="24"/>
          <w:shd w:val="clear" w:color="auto" w:fill="FFFFFF"/>
        </w:rPr>
        <w:t xml:space="preserve"> V.N. Long-term clinical and radiological results of dental implantation // Mater. </w:t>
      </w:r>
      <w:proofErr w:type="spellStart"/>
      <w:r w:rsidRPr="00C42837">
        <w:rPr>
          <w:rFonts w:ascii="Cambria" w:hAnsi="Cambria" w:cstheme="majorBidi"/>
          <w:sz w:val="24"/>
          <w:szCs w:val="24"/>
          <w:shd w:val="clear" w:color="auto" w:fill="FFFFFF"/>
        </w:rPr>
        <w:t>Дентальная</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имплантология</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Основы</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теории</w:t>
      </w:r>
      <w:proofErr w:type="spellEnd"/>
      <w:r w:rsidRPr="00C42837">
        <w:rPr>
          <w:rFonts w:ascii="Cambria" w:hAnsi="Cambria" w:cstheme="majorBidi"/>
          <w:sz w:val="24"/>
          <w:szCs w:val="24"/>
          <w:shd w:val="clear" w:color="auto" w:fill="FFFFFF"/>
        </w:rPr>
        <w:t xml:space="preserve"> и </w:t>
      </w:r>
      <w:proofErr w:type="spellStart"/>
      <w:r w:rsidRPr="00C42837">
        <w:rPr>
          <w:rFonts w:ascii="Cambria" w:hAnsi="Cambria" w:cstheme="majorBidi"/>
          <w:sz w:val="24"/>
          <w:szCs w:val="24"/>
          <w:shd w:val="clear" w:color="auto" w:fill="FFFFFF"/>
        </w:rPr>
        <w:t>прак¬тики</w:t>
      </w:r>
      <w:proofErr w:type="spellEnd"/>
      <w:r w:rsidRPr="00C42837">
        <w:rPr>
          <w:rFonts w:ascii="Cambria" w:hAnsi="Cambria" w:cstheme="majorBidi"/>
          <w:sz w:val="24"/>
          <w:szCs w:val="24"/>
          <w:shd w:val="clear" w:color="auto" w:fill="FFFFFF"/>
        </w:rPr>
        <w:t xml:space="preserve">. - </w:t>
      </w:r>
      <w:proofErr w:type="spellStart"/>
      <w:r w:rsidRPr="00C42837">
        <w:rPr>
          <w:rFonts w:ascii="Cambria" w:hAnsi="Cambria" w:cstheme="majorBidi"/>
          <w:sz w:val="24"/>
          <w:szCs w:val="24"/>
          <w:shd w:val="clear" w:color="auto" w:fill="FFFFFF"/>
        </w:rPr>
        <w:t>Минск</w:t>
      </w:r>
      <w:proofErr w:type="spellEnd"/>
      <w:r w:rsidRPr="00C42837">
        <w:rPr>
          <w:rFonts w:ascii="Cambria" w:hAnsi="Cambria" w:cstheme="majorBidi"/>
          <w:sz w:val="24"/>
          <w:szCs w:val="24"/>
          <w:shd w:val="clear" w:color="auto" w:fill="FFFFFF"/>
        </w:rPr>
        <w:t xml:space="preserve">, 2002. </w:t>
      </w:r>
    </w:p>
    <w:p w14:paraId="546DD0F7" w14:textId="63863793"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Khamdamov B.Z. Indicators of </w:t>
      </w:r>
      <w:proofErr w:type="spellStart"/>
      <w:r w:rsidRPr="00C42837">
        <w:rPr>
          <w:rFonts w:ascii="Cambria" w:hAnsi="Cambria" w:cstheme="majorBidi"/>
          <w:sz w:val="24"/>
          <w:szCs w:val="24"/>
          <w:shd w:val="clear" w:color="auto" w:fill="FFFFFF"/>
        </w:rPr>
        <w:t>immunocitocine</w:t>
      </w:r>
      <w:proofErr w:type="spellEnd"/>
      <w:r w:rsidRPr="00C42837">
        <w:rPr>
          <w:rFonts w:ascii="Cambria" w:hAnsi="Cambria" w:cstheme="majorBidi"/>
          <w:sz w:val="24"/>
          <w:szCs w:val="24"/>
          <w:shd w:val="clear" w:color="auto" w:fill="FFFFFF"/>
        </w:rPr>
        <w:t xml:space="preserve"> status in purulent-necrotic lesions of the </w:t>
      </w:r>
      <w:proofErr w:type="spellStart"/>
      <w:r w:rsidRPr="00C42837">
        <w:rPr>
          <w:rFonts w:ascii="Cambria" w:hAnsi="Cambria" w:cstheme="majorBidi"/>
          <w:sz w:val="24"/>
          <w:szCs w:val="24"/>
          <w:shd w:val="clear" w:color="auto" w:fill="FFFFFF"/>
        </w:rPr>
        <w:t>lover</w:t>
      </w:r>
      <w:proofErr w:type="spellEnd"/>
      <w:r w:rsidRPr="00C42837">
        <w:rPr>
          <w:rFonts w:ascii="Cambria" w:hAnsi="Cambria" w:cstheme="majorBidi"/>
          <w:sz w:val="24"/>
          <w:szCs w:val="24"/>
          <w:shd w:val="clear" w:color="auto" w:fill="FFFFFF"/>
        </w:rPr>
        <w:t xml:space="preserve"> extremities in patients with diabetes </w:t>
      </w:r>
      <w:proofErr w:type="gramStart"/>
      <w:r w:rsidRPr="00C42837">
        <w:rPr>
          <w:rFonts w:ascii="Cambria" w:hAnsi="Cambria" w:cstheme="majorBidi"/>
          <w:sz w:val="24"/>
          <w:szCs w:val="24"/>
          <w:shd w:val="clear" w:color="auto" w:fill="FFFFFF"/>
        </w:rPr>
        <w:t>mellitus./</w:t>
      </w:r>
      <w:proofErr w:type="gramEnd"/>
      <w:r w:rsidRPr="00C42837">
        <w:rPr>
          <w:rFonts w:ascii="Cambria" w:hAnsi="Cambria" w:cstheme="majorBidi"/>
          <w:sz w:val="24"/>
          <w:szCs w:val="24"/>
          <w:shd w:val="clear" w:color="auto" w:fill="FFFFFF"/>
        </w:rPr>
        <w:t>/American Journal of Medicine and Medical Sciences, 2020 10(7) 473-478 DOI: 10.5923/j.ajmm.2020.- 1007.08 10.</w:t>
      </w:r>
    </w:p>
    <w:p w14:paraId="13F688C5" w14:textId="7CC4F99C"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C42837">
        <w:rPr>
          <w:rFonts w:ascii="Cambria" w:hAnsi="Cambria" w:cstheme="majorBidi"/>
          <w:sz w:val="24"/>
          <w:szCs w:val="24"/>
          <w:shd w:val="clear" w:color="auto" w:fill="FFFFFF"/>
        </w:rPr>
        <w:t>Khaidarov</w:t>
      </w:r>
      <w:proofErr w:type="spellEnd"/>
      <w:r w:rsidRPr="00C42837">
        <w:rPr>
          <w:rFonts w:ascii="Cambria" w:hAnsi="Cambria" w:cstheme="majorBidi"/>
          <w:sz w:val="24"/>
          <w:szCs w:val="24"/>
          <w:shd w:val="clear" w:color="auto" w:fill="FFFFFF"/>
        </w:rPr>
        <w:t xml:space="preserve"> Nodir </w:t>
      </w:r>
      <w:proofErr w:type="spellStart"/>
      <w:r w:rsidRPr="00C42837">
        <w:rPr>
          <w:rFonts w:ascii="Cambria" w:hAnsi="Cambria" w:cstheme="majorBidi"/>
          <w:sz w:val="24"/>
          <w:szCs w:val="24"/>
          <w:shd w:val="clear" w:color="auto" w:fill="FFFFFF"/>
        </w:rPr>
        <w:t>Kadyrovich</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Shomurodov</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Kahramon</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Erkinovich</w:t>
      </w:r>
      <w:proofErr w:type="spellEnd"/>
      <w:r w:rsidRPr="00C42837">
        <w:rPr>
          <w:rFonts w:ascii="Cambria" w:hAnsi="Cambria" w:cstheme="majorBidi"/>
          <w:sz w:val="24"/>
          <w:szCs w:val="24"/>
          <w:shd w:val="clear" w:color="auto" w:fill="FFFFFF"/>
        </w:rPr>
        <w:t>, &amp;</w:t>
      </w:r>
      <w:proofErr w:type="spellStart"/>
      <w:r w:rsidRPr="00C42837">
        <w:rPr>
          <w:rFonts w:ascii="Cambria" w:hAnsi="Cambria" w:cstheme="majorBidi"/>
          <w:sz w:val="24"/>
          <w:szCs w:val="24"/>
          <w:shd w:val="clear" w:color="auto" w:fill="FFFFFF"/>
        </w:rPr>
        <w:t>Kamalova</w:t>
      </w:r>
      <w:proofErr w:type="spellEnd"/>
      <w:r w:rsidRPr="00C42837">
        <w:rPr>
          <w:rFonts w:ascii="Cambria" w:hAnsi="Cambria" w:cstheme="majorBidi"/>
          <w:sz w:val="24"/>
          <w:szCs w:val="24"/>
          <w:shd w:val="clear" w:color="auto" w:fill="FFFFFF"/>
        </w:rPr>
        <w:t xml:space="preserve"> Malika </w:t>
      </w:r>
      <w:proofErr w:type="spellStart"/>
      <w:r w:rsidRPr="00C42837">
        <w:rPr>
          <w:rFonts w:ascii="Cambria" w:hAnsi="Cambria" w:cstheme="majorBidi"/>
          <w:sz w:val="24"/>
          <w:szCs w:val="24"/>
          <w:shd w:val="clear" w:color="auto" w:fill="FFFFFF"/>
        </w:rPr>
        <w:t>Ilhomovna</w:t>
      </w:r>
      <w:proofErr w:type="spellEnd"/>
      <w:r w:rsidRPr="00C42837">
        <w:rPr>
          <w:rFonts w:ascii="Cambria" w:hAnsi="Cambria" w:cstheme="majorBidi"/>
          <w:sz w:val="24"/>
          <w:szCs w:val="24"/>
          <w:shd w:val="clear" w:color="auto" w:fill="FFFFFF"/>
        </w:rPr>
        <w:t xml:space="preserve">. (2021). Microscopic Examination </w:t>
      </w:r>
      <w:proofErr w:type="spellStart"/>
      <w:r w:rsidRPr="00C42837">
        <w:rPr>
          <w:rFonts w:ascii="Cambria" w:hAnsi="Cambria" w:cstheme="majorBidi"/>
          <w:sz w:val="24"/>
          <w:szCs w:val="24"/>
          <w:shd w:val="clear" w:color="auto" w:fill="FFFFFF"/>
        </w:rPr>
        <w:t>OfPostcapillary</w:t>
      </w:r>
      <w:proofErr w:type="spellEnd"/>
      <w:r w:rsidRPr="00C42837">
        <w:rPr>
          <w:rFonts w:ascii="Cambria" w:hAnsi="Cambria" w:cstheme="majorBidi"/>
          <w:sz w:val="24"/>
          <w:szCs w:val="24"/>
          <w:shd w:val="clear" w:color="auto" w:fill="FFFFFF"/>
        </w:rPr>
        <w:t xml:space="preserve"> Cerebral Venues </w:t>
      </w:r>
      <w:proofErr w:type="gramStart"/>
      <w:r w:rsidRPr="00C42837">
        <w:rPr>
          <w:rFonts w:ascii="Cambria" w:hAnsi="Cambria" w:cstheme="majorBidi"/>
          <w:sz w:val="24"/>
          <w:szCs w:val="24"/>
          <w:shd w:val="clear" w:color="auto" w:fill="FFFFFF"/>
        </w:rPr>
        <w:t>In</w:t>
      </w:r>
      <w:proofErr w:type="gramEnd"/>
      <w:r w:rsidRPr="00C42837">
        <w:rPr>
          <w:rFonts w:ascii="Cambria" w:hAnsi="Cambria" w:cstheme="majorBidi"/>
          <w:sz w:val="24"/>
          <w:szCs w:val="24"/>
          <w:shd w:val="clear" w:color="auto" w:fill="FFFFFF"/>
        </w:rPr>
        <w:t xml:space="preserve"> Hemorrhagic Stroke. The American Journal of Medical Sciences and Pharmaceutical Research, 3(08), 69–73.</w:t>
      </w:r>
    </w:p>
    <w:p w14:paraId="73E9BCC3" w14:textId="35A955B4"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C42837">
        <w:rPr>
          <w:rFonts w:ascii="Cambria" w:hAnsi="Cambria" w:cstheme="majorBidi"/>
          <w:sz w:val="24"/>
          <w:szCs w:val="24"/>
          <w:shd w:val="clear" w:color="auto" w:fill="FFFFFF"/>
        </w:rPr>
        <w:t>Kamalova</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Мalika</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Ilkhomovna</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Islamov</w:t>
      </w:r>
      <w:proofErr w:type="spellEnd"/>
      <w:r w:rsidRPr="00C42837">
        <w:rPr>
          <w:rFonts w:ascii="Cambria" w:hAnsi="Cambria" w:cstheme="majorBidi"/>
          <w:sz w:val="24"/>
          <w:szCs w:val="24"/>
          <w:shd w:val="clear" w:color="auto" w:fill="FFFFFF"/>
        </w:rPr>
        <w:t xml:space="preserve"> Shavkat </w:t>
      </w:r>
      <w:proofErr w:type="spellStart"/>
      <w:r w:rsidRPr="00C42837">
        <w:rPr>
          <w:rFonts w:ascii="Cambria" w:hAnsi="Cambria" w:cstheme="majorBidi"/>
          <w:sz w:val="24"/>
          <w:szCs w:val="24"/>
          <w:shd w:val="clear" w:color="auto" w:fill="FFFFFF"/>
        </w:rPr>
        <w:t>Eriyigitovich</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Khaidarov</w:t>
      </w:r>
      <w:proofErr w:type="spellEnd"/>
      <w:r w:rsidRPr="00C42837">
        <w:rPr>
          <w:rFonts w:ascii="Cambria" w:hAnsi="Cambria" w:cstheme="majorBidi"/>
          <w:sz w:val="24"/>
          <w:szCs w:val="24"/>
          <w:shd w:val="clear" w:color="auto" w:fill="FFFFFF"/>
        </w:rPr>
        <w:t xml:space="preserve"> Nodir </w:t>
      </w:r>
      <w:proofErr w:type="spellStart"/>
      <w:r w:rsidRPr="00C42837">
        <w:rPr>
          <w:rFonts w:ascii="Cambria" w:hAnsi="Cambria" w:cstheme="majorBidi"/>
          <w:sz w:val="24"/>
          <w:szCs w:val="24"/>
          <w:shd w:val="clear" w:color="auto" w:fill="FFFFFF"/>
        </w:rPr>
        <w:t>Kadyrovich</w:t>
      </w:r>
      <w:proofErr w:type="spellEnd"/>
      <w:r w:rsidRPr="00C42837">
        <w:rPr>
          <w:rFonts w:ascii="Cambria" w:hAnsi="Cambria" w:cstheme="majorBidi"/>
          <w:sz w:val="24"/>
          <w:szCs w:val="24"/>
          <w:shd w:val="clear" w:color="auto" w:fill="FFFFFF"/>
        </w:rPr>
        <w:t xml:space="preserve">. Morphological Features </w:t>
      </w:r>
      <w:proofErr w:type="gramStart"/>
      <w:r w:rsidRPr="00C42837">
        <w:rPr>
          <w:rFonts w:ascii="Cambria" w:hAnsi="Cambria" w:cstheme="majorBidi"/>
          <w:sz w:val="24"/>
          <w:szCs w:val="24"/>
          <w:shd w:val="clear" w:color="auto" w:fill="FFFFFF"/>
        </w:rPr>
        <w:t>Of</w:t>
      </w:r>
      <w:proofErr w:type="gramEnd"/>
      <w:r w:rsidRPr="00C42837">
        <w:rPr>
          <w:rFonts w:ascii="Cambria" w:hAnsi="Cambria" w:cstheme="majorBidi"/>
          <w:sz w:val="24"/>
          <w:szCs w:val="24"/>
          <w:shd w:val="clear" w:color="auto" w:fill="FFFFFF"/>
        </w:rPr>
        <w:t xml:space="preserve"> </w:t>
      </w:r>
      <w:r w:rsidRPr="00C42837">
        <w:rPr>
          <w:rFonts w:ascii="Cambria" w:hAnsi="Cambria" w:cstheme="majorBidi"/>
          <w:sz w:val="24"/>
          <w:szCs w:val="24"/>
          <w:shd w:val="clear" w:color="auto" w:fill="FFFFFF"/>
        </w:rPr>
        <w:lastRenderedPageBreak/>
        <w:t xml:space="preserve">Microvascular Tissue Of The Brain At Hemorrhagic Stroke. The American Journal of Medical Sciences and Pharmaceutical </w:t>
      </w:r>
      <w:proofErr w:type="gramStart"/>
      <w:r w:rsidRPr="00C42837">
        <w:rPr>
          <w:rFonts w:ascii="Cambria" w:hAnsi="Cambria" w:cstheme="majorBidi"/>
          <w:sz w:val="24"/>
          <w:szCs w:val="24"/>
          <w:shd w:val="clear" w:color="auto" w:fill="FFFFFF"/>
        </w:rPr>
        <w:t>Research,  2020</w:t>
      </w:r>
      <w:proofErr w:type="gramEnd"/>
      <w:r w:rsidRPr="00C42837">
        <w:rPr>
          <w:rFonts w:ascii="Cambria" w:hAnsi="Cambria" w:cstheme="majorBidi"/>
          <w:sz w:val="24"/>
          <w:szCs w:val="24"/>
          <w:shd w:val="clear" w:color="auto" w:fill="FFFFFF"/>
        </w:rPr>
        <w:t>. 2(10), 53-59</w:t>
      </w:r>
    </w:p>
    <w:p w14:paraId="68FB84D1" w14:textId="47213E31"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C42837">
        <w:rPr>
          <w:rFonts w:ascii="Cambria" w:hAnsi="Cambria" w:cstheme="majorBidi"/>
          <w:sz w:val="24"/>
          <w:szCs w:val="24"/>
          <w:shd w:val="clear" w:color="auto" w:fill="FFFFFF"/>
        </w:rPr>
        <w:t>Khodjieva</w:t>
      </w:r>
      <w:proofErr w:type="spellEnd"/>
      <w:r w:rsidRPr="00C42837">
        <w:rPr>
          <w:rFonts w:ascii="Cambria" w:hAnsi="Cambria" w:cstheme="majorBidi"/>
          <w:sz w:val="24"/>
          <w:szCs w:val="24"/>
          <w:shd w:val="clear" w:color="auto" w:fill="FFFFFF"/>
        </w:rPr>
        <w:t xml:space="preserve"> D. T., Khaydarova D. K., </w:t>
      </w:r>
      <w:proofErr w:type="spellStart"/>
      <w:r w:rsidRPr="00C42837">
        <w:rPr>
          <w:rFonts w:ascii="Cambria" w:hAnsi="Cambria" w:cstheme="majorBidi"/>
          <w:sz w:val="24"/>
          <w:szCs w:val="24"/>
          <w:shd w:val="clear" w:color="auto" w:fill="FFFFFF"/>
        </w:rPr>
        <w:t>Khaydarov</w:t>
      </w:r>
      <w:proofErr w:type="spellEnd"/>
      <w:r w:rsidRPr="00C42837">
        <w:rPr>
          <w:rFonts w:ascii="Cambria" w:hAnsi="Cambria" w:cstheme="majorBidi"/>
          <w:sz w:val="24"/>
          <w:szCs w:val="24"/>
          <w:shd w:val="clear" w:color="auto" w:fill="FFFFFF"/>
        </w:rPr>
        <w:t xml:space="preserve"> N. K. Complex evaluation of clinical and instrumental data for justification of </w:t>
      </w:r>
      <w:proofErr w:type="spellStart"/>
      <w:r w:rsidRPr="00C42837">
        <w:rPr>
          <w:rFonts w:ascii="Cambria" w:hAnsi="Cambria" w:cstheme="majorBidi"/>
          <w:sz w:val="24"/>
          <w:szCs w:val="24"/>
          <w:shd w:val="clear" w:color="auto" w:fill="FFFFFF"/>
        </w:rPr>
        <w:t>optive</w:t>
      </w:r>
      <w:proofErr w:type="spellEnd"/>
      <w:r w:rsidRPr="00C42837">
        <w:rPr>
          <w:rFonts w:ascii="Cambria" w:hAnsi="Cambria" w:cstheme="majorBidi"/>
          <w:sz w:val="24"/>
          <w:szCs w:val="24"/>
          <w:shd w:val="clear" w:color="auto" w:fill="FFFFFF"/>
        </w:rPr>
        <w:t xml:space="preserve"> treatment </w:t>
      </w:r>
      <w:proofErr w:type="spellStart"/>
      <w:r w:rsidRPr="00C42837">
        <w:rPr>
          <w:rFonts w:ascii="Cambria" w:hAnsi="Cambria" w:cstheme="majorBidi"/>
          <w:sz w:val="24"/>
          <w:szCs w:val="24"/>
          <w:shd w:val="clear" w:color="auto" w:fill="FFFFFF"/>
        </w:rPr>
        <w:t>activites</w:t>
      </w:r>
      <w:proofErr w:type="spellEnd"/>
      <w:r w:rsidRPr="00C42837">
        <w:rPr>
          <w:rFonts w:ascii="Cambria" w:hAnsi="Cambria" w:cstheme="majorBidi"/>
          <w:sz w:val="24"/>
          <w:szCs w:val="24"/>
          <w:shd w:val="clear" w:color="auto" w:fill="FFFFFF"/>
        </w:rPr>
        <w:t xml:space="preserve"> in patients with resistant forms of epilepsy. American Journal of Research. USA. № 11-12, 2018. C.186-193.</w:t>
      </w:r>
    </w:p>
    <w:p w14:paraId="1423290F" w14:textId="15314486" w:rsidR="00C42837" w:rsidRPr="00C42837" w:rsidRDefault="00C42837" w:rsidP="00C42837">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C42837">
        <w:rPr>
          <w:rFonts w:ascii="Cambria" w:hAnsi="Cambria" w:cstheme="majorBidi"/>
          <w:sz w:val="24"/>
          <w:szCs w:val="24"/>
          <w:shd w:val="clear" w:color="auto" w:fill="FFFFFF"/>
        </w:rPr>
        <w:t>Khodjieva</w:t>
      </w:r>
      <w:proofErr w:type="spellEnd"/>
      <w:r w:rsidRPr="00C42837">
        <w:rPr>
          <w:rFonts w:ascii="Cambria" w:hAnsi="Cambria" w:cstheme="majorBidi"/>
          <w:sz w:val="24"/>
          <w:szCs w:val="24"/>
          <w:shd w:val="clear" w:color="auto" w:fill="FFFFFF"/>
        </w:rPr>
        <w:t xml:space="preserve"> D. T., Khaydarova D. K. Clinical and </w:t>
      </w:r>
      <w:proofErr w:type="spellStart"/>
      <w:r w:rsidRPr="00C42837">
        <w:rPr>
          <w:rFonts w:ascii="Cambria" w:hAnsi="Cambria" w:cstheme="majorBidi"/>
          <w:sz w:val="24"/>
          <w:szCs w:val="24"/>
          <w:shd w:val="clear" w:color="auto" w:fill="FFFFFF"/>
        </w:rPr>
        <w:t>neuroph</w:t>
      </w:r>
      <w:proofErr w:type="spellEnd"/>
      <w:r w:rsidRPr="00C42837">
        <w:rPr>
          <w:rFonts w:ascii="Cambria" w:hAnsi="Cambria" w:cstheme="majorBidi"/>
          <w:sz w:val="24"/>
          <w:szCs w:val="24"/>
          <w:shd w:val="clear" w:color="auto" w:fill="FFFFFF"/>
        </w:rPr>
        <w:t xml:space="preserve"> clinical and neurophysiological </w:t>
      </w:r>
      <w:proofErr w:type="spellStart"/>
      <w:r w:rsidRPr="00C42837">
        <w:rPr>
          <w:rFonts w:ascii="Cambria" w:hAnsi="Cambria" w:cstheme="majorBidi"/>
          <w:sz w:val="24"/>
          <w:szCs w:val="24"/>
          <w:shd w:val="clear" w:color="auto" w:fill="FFFFFF"/>
        </w:rPr>
        <w:t>ch</w:t>
      </w:r>
      <w:proofErr w:type="spellEnd"/>
      <w:r w:rsidRPr="00C42837">
        <w:rPr>
          <w:rFonts w:ascii="Cambria" w:hAnsi="Cambria" w:cstheme="majorBidi"/>
          <w:sz w:val="24"/>
          <w:szCs w:val="24"/>
          <w:shd w:val="clear" w:color="auto" w:fill="FFFFFF"/>
        </w:rPr>
        <w:t xml:space="preserve"> </w:t>
      </w:r>
      <w:proofErr w:type="spellStart"/>
      <w:r w:rsidRPr="00C42837">
        <w:rPr>
          <w:rFonts w:ascii="Cambria" w:hAnsi="Cambria" w:cstheme="majorBidi"/>
          <w:sz w:val="24"/>
          <w:szCs w:val="24"/>
          <w:shd w:val="clear" w:color="auto" w:fill="FFFFFF"/>
        </w:rPr>
        <w:t>ogical</w:t>
      </w:r>
      <w:proofErr w:type="spellEnd"/>
      <w:r w:rsidRPr="00C42837">
        <w:rPr>
          <w:rFonts w:ascii="Cambria" w:hAnsi="Cambria" w:cstheme="majorBidi"/>
          <w:sz w:val="24"/>
          <w:szCs w:val="24"/>
          <w:shd w:val="clear" w:color="auto" w:fill="FFFFFF"/>
        </w:rPr>
        <w:t xml:space="preserve"> characteristics of </w:t>
      </w:r>
      <w:proofErr w:type="spellStart"/>
      <w:r w:rsidRPr="00C42837">
        <w:rPr>
          <w:rFonts w:ascii="Cambria" w:hAnsi="Cambria" w:cstheme="majorBidi"/>
          <w:sz w:val="24"/>
          <w:szCs w:val="24"/>
          <w:shd w:val="clear" w:color="auto" w:fill="FFFFFF"/>
        </w:rPr>
        <w:t>teristics</w:t>
      </w:r>
      <w:proofErr w:type="spellEnd"/>
      <w:r w:rsidRPr="00C42837">
        <w:rPr>
          <w:rFonts w:ascii="Cambria" w:hAnsi="Cambria" w:cstheme="majorBidi"/>
          <w:sz w:val="24"/>
          <w:szCs w:val="24"/>
          <w:shd w:val="clear" w:color="auto" w:fill="FFFFFF"/>
        </w:rPr>
        <w:t xml:space="preserve"> of post-insular cognitive disorders and issues of therapy optimization. Central Asian Journal of Pediatrics. Dec.2019. P 82-86</w:t>
      </w:r>
    </w:p>
    <w:p w14:paraId="4AC4C44F" w14:textId="77777777" w:rsidR="00731BC3" w:rsidRDefault="00C42837" w:rsidP="00731BC3">
      <w:pPr>
        <w:pStyle w:val="ListParagraph"/>
        <w:numPr>
          <w:ilvl w:val="0"/>
          <w:numId w:val="4"/>
        </w:numPr>
        <w:spacing w:after="0" w:line="240" w:lineRule="auto"/>
        <w:ind w:left="360"/>
        <w:jc w:val="both"/>
        <w:rPr>
          <w:rFonts w:ascii="Cambria" w:hAnsi="Cambria" w:cstheme="majorBidi"/>
          <w:sz w:val="24"/>
          <w:szCs w:val="24"/>
          <w:shd w:val="clear" w:color="auto" w:fill="FFFFFF"/>
        </w:rPr>
      </w:pPr>
      <w:r w:rsidRPr="00C42837">
        <w:rPr>
          <w:rFonts w:ascii="Cambria" w:hAnsi="Cambria" w:cstheme="majorBidi"/>
          <w:sz w:val="24"/>
          <w:szCs w:val="24"/>
          <w:shd w:val="clear" w:color="auto" w:fill="FFFFFF"/>
        </w:rPr>
        <w:t xml:space="preserve">Sadriddin </w:t>
      </w:r>
      <w:proofErr w:type="spellStart"/>
      <w:r w:rsidRPr="00C42837">
        <w:rPr>
          <w:rFonts w:ascii="Cambria" w:hAnsi="Cambria" w:cstheme="majorBidi"/>
          <w:sz w:val="24"/>
          <w:szCs w:val="24"/>
          <w:shd w:val="clear" w:color="auto" w:fill="FFFFFF"/>
        </w:rPr>
        <w:t>Sayfullaevich</w:t>
      </w:r>
      <w:proofErr w:type="spellEnd"/>
      <w:r w:rsidRPr="00C42837">
        <w:rPr>
          <w:rFonts w:ascii="Cambria" w:hAnsi="Cambria" w:cstheme="majorBidi"/>
          <w:sz w:val="24"/>
          <w:szCs w:val="24"/>
          <w:shd w:val="clear" w:color="auto" w:fill="FFFFFF"/>
        </w:rPr>
        <w:t xml:space="preserve"> Pulatov. (2022). Efficacy of </w:t>
      </w:r>
      <w:proofErr w:type="spellStart"/>
      <w:r w:rsidRPr="00C42837">
        <w:rPr>
          <w:rFonts w:ascii="Cambria" w:hAnsi="Cambria" w:cstheme="majorBidi"/>
          <w:sz w:val="24"/>
          <w:szCs w:val="24"/>
          <w:shd w:val="clear" w:color="auto" w:fill="FFFFFF"/>
        </w:rPr>
        <w:t>ipidacrine</w:t>
      </w:r>
      <w:proofErr w:type="spellEnd"/>
      <w:r w:rsidRPr="00C42837">
        <w:rPr>
          <w:rFonts w:ascii="Cambria" w:hAnsi="Cambria" w:cstheme="majorBidi"/>
          <w:sz w:val="24"/>
          <w:szCs w:val="24"/>
          <w:shd w:val="clear" w:color="auto" w:fill="FFFFFF"/>
        </w:rPr>
        <w:t xml:space="preserve"> in the recovery period of </w:t>
      </w:r>
      <w:proofErr w:type="spellStart"/>
      <w:r w:rsidRPr="00C42837">
        <w:rPr>
          <w:rFonts w:ascii="Cambria" w:hAnsi="Cambria" w:cstheme="majorBidi"/>
          <w:sz w:val="24"/>
          <w:szCs w:val="24"/>
          <w:shd w:val="clear" w:color="auto" w:fill="FFFFFF"/>
        </w:rPr>
        <w:t>ischaemic</w:t>
      </w:r>
      <w:proofErr w:type="spellEnd"/>
      <w:r w:rsidRPr="00C42837">
        <w:rPr>
          <w:rFonts w:ascii="Cambria" w:hAnsi="Cambria" w:cstheme="majorBidi"/>
          <w:sz w:val="24"/>
          <w:szCs w:val="24"/>
          <w:shd w:val="clear" w:color="auto" w:fill="FFFFFF"/>
        </w:rPr>
        <w:t xml:space="preserve"> stroke. World Bulletin of Public Health, 7, 28-32. </w:t>
      </w:r>
    </w:p>
    <w:p w14:paraId="05337C36" w14:textId="0DB3EE2C" w:rsidR="00C42837" w:rsidRPr="00731BC3" w:rsidRDefault="00C42837" w:rsidP="00731BC3">
      <w:pPr>
        <w:pStyle w:val="ListParagraph"/>
        <w:numPr>
          <w:ilvl w:val="0"/>
          <w:numId w:val="4"/>
        </w:numPr>
        <w:spacing w:after="0" w:line="240" w:lineRule="auto"/>
        <w:ind w:left="360"/>
        <w:jc w:val="both"/>
        <w:rPr>
          <w:rFonts w:ascii="Cambria" w:hAnsi="Cambria" w:cstheme="majorBidi"/>
          <w:sz w:val="24"/>
          <w:szCs w:val="24"/>
          <w:shd w:val="clear" w:color="auto" w:fill="FFFFFF"/>
        </w:rPr>
      </w:pPr>
      <w:proofErr w:type="spellStart"/>
      <w:r w:rsidRPr="00731BC3">
        <w:rPr>
          <w:rFonts w:ascii="Cambria" w:hAnsi="Cambria" w:cstheme="majorBidi"/>
          <w:sz w:val="24"/>
          <w:szCs w:val="24"/>
          <w:shd w:val="clear" w:color="auto" w:fill="FFFFFF"/>
        </w:rPr>
        <w:t>Tukhtarov</w:t>
      </w:r>
      <w:proofErr w:type="spellEnd"/>
      <w:r w:rsidRPr="00731BC3">
        <w:rPr>
          <w:rFonts w:ascii="Cambria" w:hAnsi="Cambria" w:cstheme="majorBidi"/>
          <w:sz w:val="24"/>
          <w:szCs w:val="24"/>
          <w:shd w:val="clear" w:color="auto" w:fill="FFFFFF"/>
        </w:rPr>
        <w:t xml:space="preserve"> B.E., Comparative assessment of the biological value of average daily diets in professional athletes of Uzbekistan. Gig. Sanit., 2010, 2, 65–67.</w:t>
      </w:r>
    </w:p>
    <w:p w14:paraId="2330D393" w14:textId="77777777" w:rsidR="00C42837" w:rsidRPr="00C42837" w:rsidRDefault="00C42837" w:rsidP="00C42837">
      <w:pPr>
        <w:spacing w:after="0" w:line="240" w:lineRule="auto"/>
        <w:ind w:left="360"/>
        <w:jc w:val="both"/>
        <w:rPr>
          <w:rFonts w:ascii="Cambria" w:hAnsi="Cambria" w:cstheme="majorBidi"/>
          <w:sz w:val="24"/>
          <w:szCs w:val="24"/>
          <w:shd w:val="clear" w:color="auto" w:fill="FFFFFF"/>
        </w:rPr>
      </w:pPr>
    </w:p>
    <w:p w14:paraId="23316B79" w14:textId="77777777" w:rsidR="00C42837" w:rsidRPr="00C42837" w:rsidRDefault="00C42837" w:rsidP="00C42837">
      <w:pPr>
        <w:spacing w:after="0" w:line="240" w:lineRule="auto"/>
        <w:ind w:left="360"/>
        <w:jc w:val="both"/>
        <w:rPr>
          <w:rFonts w:ascii="Cambria" w:hAnsi="Cambria" w:cstheme="majorBidi"/>
          <w:sz w:val="24"/>
          <w:szCs w:val="24"/>
          <w:shd w:val="clear" w:color="auto" w:fill="FFFFFF"/>
        </w:rPr>
      </w:pPr>
    </w:p>
    <w:p w14:paraId="39F4B5DB" w14:textId="77777777" w:rsidR="00C42837" w:rsidRPr="00C42837" w:rsidRDefault="00C42837" w:rsidP="00C42837">
      <w:pPr>
        <w:spacing w:after="0" w:line="240" w:lineRule="auto"/>
        <w:jc w:val="both"/>
        <w:rPr>
          <w:rFonts w:ascii="Cambria" w:hAnsi="Cambria" w:cstheme="majorBidi"/>
          <w:sz w:val="24"/>
          <w:szCs w:val="24"/>
          <w:shd w:val="clear" w:color="auto" w:fill="FFFFFF"/>
        </w:rPr>
      </w:pPr>
    </w:p>
    <w:p w14:paraId="5D98FA13" w14:textId="267BA24E" w:rsidR="00E77709" w:rsidRPr="00E77709" w:rsidRDefault="00E77709" w:rsidP="00E77709">
      <w:pPr>
        <w:spacing w:after="0" w:line="240" w:lineRule="auto"/>
        <w:jc w:val="both"/>
        <w:rPr>
          <w:rFonts w:ascii="Cambria" w:hAnsi="Cambria" w:cstheme="majorBidi"/>
          <w:sz w:val="24"/>
          <w:szCs w:val="24"/>
          <w:shd w:val="clear" w:color="auto" w:fill="FFFFFF"/>
        </w:rPr>
      </w:pPr>
      <w:r w:rsidRPr="00E77709">
        <w:rPr>
          <w:rFonts w:ascii="Cambria" w:hAnsi="Cambria" w:cstheme="majorBidi"/>
          <w:sz w:val="24"/>
          <w:szCs w:val="24"/>
          <w:shd w:val="clear" w:color="auto" w:fill="FFFFFF"/>
        </w:rPr>
        <w:t xml:space="preserve"> </w:t>
      </w:r>
    </w:p>
    <w:p w14:paraId="50BE869D" w14:textId="77777777" w:rsidR="00E77709" w:rsidRPr="00E77709" w:rsidRDefault="00E77709" w:rsidP="00E77709">
      <w:pPr>
        <w:spacing w:after="0" w:line="240" w:lineRule="auto"/>
        <w:jc w:val="both"/>
        <w:rPr>
          <w:rFonts w:ascii="Cambria" w:hAnsi="Cambria" w:cstheme="majorBidi"/>
          <w:sz w:val="24"/>
          <w:szCs w:val="24"/>
          <w:shd w:val="clear" w:color="auto" w:fill="FFFFFF"/>
        </w:rPr>
      </w:pPr>
    </w:p>
    <w:p w14:paraId="383F1B77" w14:textId="77777777" w:rsidR="00E77709" w:rsidRPr="00E77709" w:rsidRDefault="00E77709" w:rsidP="00E77709">
      <w:pPr>
        <w:spacing w:after="0" w:line="240" w:lineRule="auto"/>
        <w:jc w:val="both"/>
        <w:rPr>
          <w:rFonts w:ascii="Cambria" w:hAnsi="Cambria" w:cstheme="majorBidi"/>
          <w:sz w:val="24"/>
          <w:szCs w:val="24"/>
          <w:shd w:val="clear" w:color="auto" w:fill="FFFFFF"/>
        </w:rPr>
      </w:pPr>
    </w:p>
    <w:p w14:paraId="3003F67F" w14:textId="77777777" w:rsidR="005D38C0" w:rsidRPr="005A02E9" w:rsidRDefault="005D38C0" w:rsidP="005A02E9">
      <w:pPr>
        <w:spacing w:after="0" w:line="240" w:lineRule="auto"/>
        <w:jc w:val="both"/>
        <w:rPr>
          <w:rFonts w:ascii="Cambria" w:hAnsi="Cambria" w:cstheme="majorBidi"/>
          <w:sz w:val="24"/>
          <w:szCs w:val="24"/>
          <w:shd w:val="clear" w:color="auto" w:fill="FFFFFF"/>
        </w:rPr>
      </w:pPr>
    </w:p>
    <w:p w14:paraId="23142215" w14:textId="77777777" w:rsidR="005D38C0" w:rsidRPr="005A02E9" w:rsidRDefault="005D38C0" w:rsidP="005A02E9">
      <w:pPr>
        <w:spacing w:after="0" w:line="240" w:lineRule="auto"/>
        <w:jc w:val="both"/>
        <w:rPr>
          <w:rFonts w:ascii="Cambria" w:hAnsi="Cambria" w:cstheme="majorBidi"/>
          <w:sz w:val="24"/>
          <w:szCs w:val="24"/>
        </w:rPr>
      </w:pPr>
    </w:p>
    <w:p w14:paraId="566C3F18" w14:textId="77777777" w:rsidR="005D38C0" w:rsidRPr="005A02E9" w:rsidRDefault="005D38C0" w:rsidP="005A02E9">
      <w:pPr>
        <w:spacing w:after="0" w:line="240" w:lineRule="auto"/>
        <w:jc w:val="both"/>
        <w:rPr>
          <w:rFonts w:ascii="Cambria" w:hAnsi="Cambria" w:cstheme="majorBidi"/>
          <w:sz w:val="24"/>
          <w:szCs w:val="24"/>
          <w:shd w:val="clear" w:color="auto" w:fill="FFFFFF"/>
        </w:rPr>
      </w:pPr>
    </w:p>
    <w:p w14:paraId="11BD4FCB" w14:textId="6068AB1D" w:rsidR="00AC43DE" w:rsidRPr="005A02E9" w:rsidRDefault="00AC43DE" w:rsidP="005A02E9">
      <w:pPr>
        <w:spacing w:after="0" w:line="240" w:lineRule="auto"/>
        <w:ind w:firstLine="312"/>
        <w:jc w:val="both"/>
        <w:rPr>
          <w:rFonts w:ascii="Cambria" w:hAnsi="Cambria" w:cstheme="majorBidi"/>
          <w:sz w:val="24"/>
          <w:szCs w:val="24"/>
          <w:shd w:val="clear" w:color="auto" w:fill="FFFFFF"/>
        </w:rPr>
      </w:pPr>
    </w:p>
    <w:p w14:paraId="26AACA95" w14:textId="2A7963A9" w:rsidR="00D8348B" w:rsidRPr="005A02E9" w:rsidRDefault="00D8348B" w:rsidP="005A02E9">
      <w:pPr>
        <w:spacing w:after="0" w:line="240" w:lineRule="auto"/>
        <w:ind w:firstLine="264"/>
        <w:jc w:val="both"/>
        <w:rPr>
          <w:rFonts w:ascii="Cambria" w:hAnsi="Cambria" w:cstheme="majorBidi"/>
          <w:sz w:val="24"/>
          <w:szCs w:val="24"/>
        </w:rPr>
      </w:pPr>
    </w:p>
    <w:sectPr w:rsidR="00D8348B" w:rsidRPr="005A02E9" w:rsidSect="005A02E9">
      <w:type w:val="continuous"/>
      <w:pgSz w:w="11906" w:h="16838" w:code="9"/>
      <w:pgMar w:top="720" w:right="720" w:bottom="720" w:left="720"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52545" w14:textId="77777777" w:rsidR="00AF4865" w:rsidRDefault="00AF4865" w:rsidP="00F63A8E">
      <w:pPr>
        <w:spacing w:after="0" w:line="240" w:lineRule="auto"/>
      </w:pPr>
      <w:r>
        <w:separator/>
      </w:r>
    </w:p>
  </w:endnote>
  <w:endnote w:type="continuationSeparator" w:id="0">
    <w:p w14:paraId="6F82DF0D" w14:textId="77777777" w:rsidR="00AF4865" w:rsidRDefault="00AF4865"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44E3EA53"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190293">
      <w:rPr>
        <w:rFonts w:ascii="Baskerville Old Face" w:hAnsi="Baskerville Old Face"/>
        <w:noProof/>
      </w:rPr>
      <w:t>42</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44136" w14:textId="77777777" w:rsidR="00AF4865" w:rsidRDefault="00AF4865" w:rsidP="00F63A8E">
      <w:pPr>
        <w:spacing w:after="0" w:line="240" w:lineRule="auto"/>
      </w:pPr>
      <w:r>
        <w:separator/>
      </w:r>
    </w:p>
  </w:footnote>
  <w:footnote w:type="continuationSeparator" w:id="0">
    <w:p w14:paraId="32A25BD5" w14:textId="77777777" w:rsidR="00AF4865" w:rsidRDefault="00AF4865"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90293"/>
    <w:rsid w:val="00192A70"/>
    <w:rsid w:val="001E4BA3"/>
    <w:rsid w:val="00216F8C"/>
    <w:rsid w:val="002236FF"/>
    <w:rsid w:val="002402DE"/>
    <w:rsid w:val="00261909"/>
    <w:rsid w:val="002651DC"/>
    <w:rsid w:val="00290F52"/>
    <w:rsid w:val="00294153"/>
    <w:rsid w:val="002954D9"/>
    <w:rsid w:val="002B3E41"/>
    <w:rsid w:val="002D33B5"/>
    <w:rsid w:val="0031285F"/>
    <w:rsid w:val="0032198B"/>
    <w:rsid w:val="003251B4"/>
    <w:rsid w:val="003312EE"/>
    <w:rsid w:val="00335158"/>
    <w:rsid w:val="0034671E"/>
    <w:rsid w:val="003638DB"/>
    <w:rsid w:val="00372D6E"/>
    <w:rsid w:val="003733C0"/>
    <w:rsid w:val="003800F5"/>
    <w:rsid w:val="00380B25"/>
    <w:rsid w:val="003831D5"/>
    <w:rsid w:val="00391D50"/>
    <w:rsid w:val="003A0FE0"/>
    <w:rsid w:val="003A2DC4"/>
    <w:rsid w:val="003C0FF2"/>
    <w:rsid w:val="003E7D84"/>
    <w:rsid w:val="00411905"/>
    <w:rsid w:val="0041276B"/>
    <w:rsid w:val="00417F8B"/>
    <w:rsid w:val="00423342"/>
    <w:rsid w:val="00425899"/>
    <w:rsid w:val="0043280D"/>
    <w:rsid w:val="004342A9"/>
    <w:rsid w:val="00477579"/>
    <w:rsid w:val="00481261"/>
    <w:rsid w:val="00487626"/>
    <w:rsid w:val="004A1E59"/>
    <w:rsid w:val="004A76C8"/>
    <w:rsid w:val="004B4B36"/>
    <w:rsid w:val="004B7C3F"/>
    <w:rsid w:val="004D7BB4"/>
    <w:rsid w:val="004E1065"/>
    <w:rsid w:val="004E2DD4"/>
    <w:rsid w:val="004F2093"/>
    <w:rsid w:val="004F5690"/>
    <w:rsid w:val="005009D7"/>
    <w:rsid w:val="00501DEC"/>
    <w:rsid w:val="00516429"/>
    <w:rsid w:val="00534535"/>
    <w:rsid w:val="00550688"/>
    <w:rsid w:val="00574FBD"/>
    <w:rsid w:val="005932E7"/>
    <w:rsid w:val="005A02E9"/>
    <w:rsid w:val="005A1B86"/>
    <w:rsid w:val="005C56A7"/>
    <w:rsid w:val="005D38C0"/>
    <w:rsid w:val="005E6377"/>
    <w:rsid w:val="00614D2C"/>
    <w:rsid w:val="00617085"/>
    <w:rsid w:val="006267C7"/>
    <w:rsid w:val="00641917"/>
    <w:rsid w:val="00653E99"/>
    <w:rsid w:val="00671E3D"/>
    <w:rsid w:val="0067787D"/>
    <w:rsid w:val="00690C7D"/>
    <w:rsid w:val="006D2BB2"/>
    <w:rsid w:val="006F0295"/>
    <w:rsid w:val="006F1094"/>
    <w:rsid w:val="006F483F"/>
    <w:rsid w:val="00703F87"/>
    <w:rsid w:val="00717362"/>
    <w:rsid w:val="0071765D"/>
    <w:rsid w:val="0072293B"/>
    <w:rsid w:val="007313A9"/>
    <w:rsid w:val="00731BC3"/>
    <w:rsid w:val="0074200C"/>
    <w:rsid w:val="00750B54"/>
    <w:rsid w:val="007654FB"/>
    <w:rsid w:val="0076720D"/>
    <w:rsid w:val="00781A40"/>
    <w:rsid w:val="007A038D"/>
    <w:rsid w:val="007A6896"/>
    <w:rsid w:val="007C1FE5"/>
    <w:rsid w:val="007D16B7"/>
    <w:rsid w:val="007D1E6F"/>
    <w:rsid w:val="007E04F4"/>
    <w:rsid w:val="0081562F"/>
    <w:rsid w:val="00833AC0"/>
    <w:rsid w:val="00856C9B"/>
    <w:rsid w:val="00887759"/>
    <w:rsid w:val="008D3E81"/>
    <w:rsid w:val="008F6B6C"/>
    <w:rsid w:val="00912A54"/>
    <w:rsid w:val="009322CB"/>
    <w:rsid w:val="009426D6"/>
    <w:rsid w:val="00944110"/>
    <w:rsid w:val="00984E2F"/>
    <w:rsid w:val="00991718"/>
    <w:rsid w:val="009F7809"/>
    <w:rsid w:val="00A01B71"/>
    <w:rsid w:val="00A20CDE"/>
    <w:rsid w:val="00A21DBE"/>
    <w:rsid w:val="00A33338"/>
    <w:rsid w:val="00A568E1"/>
    <w:rsid w:val="00A77533"/>
    <w:rsid w:val="00A95522"/>
    <w:rsid w:val="00A97089"/>
    <w:rsid w:val="00AC0F9A"/>
    <w:rsid w:val="00AC43DE"/>
    <w:rsid w:val="00AC58B3"/>
    <w:rsid w:val="00AC7C2A"/>
    <w:rsid w:val="00AD5E77"/>
    <w:rsid w:val="00AD7F8F"/>
    <w:rsid w:val="00AE55D4"/>
    <w:rsid w:val="00AF3BAE"/>
    <w:rsid w:val="00AF4865"/>
    <w:rsid w:val="00AF7900"/>
    <w:rsid w:val="00B05744"/>
    <w:rsid w:val="00B23F60"/>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8348B"/>
    <w:rsid w:val="00D85EA8"/>
    <w:rsid w:val="00DA2D24"/>
    <w:rsid w:val="00DE358D"/>
    <w:rsid w:val="00E02D59"/>
    <w:rsid w:val="00E30AD2"/>
    <w:rsid w:val="00E44EC8"/>
    <w:rsid w:val="00E4598F"/>
    <w:rsid w:val="00E45BB9"/>
    <w:rsid w:val="00E47079"/>
    <w:rsid w:val="00E478C4"/>
    <w:rsid w:val="00E549E2"/>
    <w:rsid w:val="00E60C27"/>
    <w:rsid w:val="00E6165A"/>
    <w:rsid w:val="00E77709"/>
    <w:rsid w:val="00E91C82"/>
    <w:rsid w:val="00EA1EAC"/>
    <w:rsid w:val="00EE3068"/>
    <w:rsid w:val="00EF4992"/>
    <w:rsid w:val="00F1218F"/>
    <w:rsid w:val="00F155BE"/>
    <w:rsid w:val="00F50331"/>
    <w:rsid w:val="00F506BF"/>
    <w:rsid w:val="00F558E2"/>
    <w:rsid w:val="00F63A8E"/>
    <w:rsid w:val="00F67B37"/>
    <w:rsid w:val="00F708FF"/>
    <w:rsid w:val="00F90FCE"/>
    <w:rsid w:val="00FB73AE"/>
    <w:rsid w:val="00FC08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7B7DB-76EC-4975-855A-C80CCF224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841</Words>
  <Characters>4799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5</cp:revision>
  <cp:lastPrinted>2022-06-01T21:40:00Z</cp:lastPrinted>
  <dcterms:created xsi:type="dcterms:W3CDTF">2022-06-15T13:52:00Z</dcterms:created>
  <dcterms:modified xsi:type="dcterms:W3CDTF">2022-06-15T15:35:00Z</dcterms:modified>
</cp:coreProperties>
</file>