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540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5"/>
        <w:gridCol w:w="7030"/>
      </w:tblGrid>
      <w:tr w:rsidR="00F63A8E" w:rsidRPr="0087243D" w14:paraId="6AD1CD95" w14:textId="77777777" w:rsidTr="006D1437">
        <w:trPr>
          <w:trHeight w:val="2420"/>
        </w:trPr>
        <w:tc>
          <w:tcPr>
            <w:tcW w:w="3495" w:type="dxa"/>
            <w:tcBorders>
              <w:left w:val="nil"/>
            </w:tcBorders>
          </w:tcPr>
          <w:p w14:paraId="7D7CA280" w14:textId="77777777" w:rsidR="00F63A8E" w:rsidRPr="0087243D" w:rsidRDefault="00F63A8E" w:rsidP="006D1437">
            <w:pPr>
              <w:jc w:val="center"/>
              <w:rPr>
                <w:b/>
                <w:bCs/>
                <w:sz w:val="20"/>
              </w:rPr>
            </w:pPr>
            <w:bookmarkStart w:id="0" w:name="_Hlk100090522"/>
            <w:bookmarkStart w:id="1" w:name="_Hlk100939910"/>
            <w:bookmarkStart w:id="2" w:name="_Hlk94719788"/>
            <w:bookmarkStart w:id="3" w:name="_Hlk93755261"/>
            <w:bookmarkStart w:id="4" w:name="_Hlk100090880"/>
            <w:bookmarkEnd w:id="0"/>
          </w:p>
          <w:p w14:paraId="3173019F" w14:textId="77777777" w:rsidR="00F63A8E" w:rsidRPr="0087243D" w:rsidRDefault="00F63A8E" w:rsidP="006D1437">
            <w:pPr>
              <w:jc w:val="center"/>
              <w:rPr>
                <w:bCs/>
                <w:sz w:val="20"/>
              </w:rPr>
            </w:pPr>
            <w:r w:rsidRPr="00D66D0D">
              <w:rPr>
                <w:b/>
                <w:noProof/>
                <w:sz w:val="20"/>
              </w:rPr>
              <w:drawing>
                <wp:inline distT="0" distB="0" distL="0" distR="0" wp14:anchorId="5051DF03" wp14:editId="6FE5613C">
                  <wp:extent cx="990600" cy="1402080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40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0" w:type="dxa"/>
            <w:tcBorders>
              <w:right w:val="nil"/>
            </w:tcBorders>
            <w:shd w:val="clear" w:color="auto" w:fill="F2F2F2"/>
          </w:tcPr>
          <w:p w14:paraId="24120F66" w14:textId="77777777" w:rsidR="00F63A8E" w:rsidRPr="0087243D" w:rsidRDefault="00F63A8E" w:rsidP="006D1437">
            <w:pPr>
              <w:rPr>
                <w:bCs/>
                <w:sz w:val="20"/>
              </w:rPr>
            </w:pPr>
          </w:p>
          <w:p w14:paraId="76530ACA" w14:textId="342DB0D4" w:rsidR="00F63A8E" w:rsidRPr="0087243D" w:rsidRDefault="008E77D2" w:rsidP="006D1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</w:rPr>
            </w:pPr>
            <w:r w:rsidRPr="008E77D2">
              <w:rPr>
                <w:rFonts w:ascii="Cambria" w:hAnsi="Cambria"/>
                <w:b/>
                <w:bCs/>
                <w:color w:val="0066FF"/>
                <w:sz w:val="40"/>
                <w:szCs w:val="40"/>
              </w:rPr>
              <w:t xml:space="preserve">Endometrial Hyperplastic Processes in </w:t>
            </w:r>
            <w:proofErr w:type="spellStart"/>
            <w:r w:rsidRPr="008E77D2">
              <w:rPr>
                <w:rFonts w:ascii="Cambria" w:hAnsi="Cambria"/>
                <w:b/>
                <w:bCs/>
                <w:color w:val="0066FF"/>
                <w:sz w:val="40"/>
                <w:szCs w:val="40"/>
              </w:rPr>
              <w:t>Premenopause</w:t>
            </w:r>
            <w:proofErr w:type="spellEnd"/>
          </w:p>
        </w:tc>
      </w:tr>
      <w:tr w:rsidR="00F63A8E" w:rsidRPr="0087243D" w14:paraId="09E23703" w14:textId="77777777" w:rsidTr="006D1437">
        <w:tc>
          <w:tcPr>
            <w:tcW w:w="3495" w:type="dxa"/>
            <w:tcBorders>
              <w:left w:val="nil"/>
            </w:tcBorders>
          </w:tcPr>
          <w:p w14:paraId="0DC8C40B" w14:textId="24328663" w:rsidR="00F63A8E" w:rsidRPr="00AD55A7" w:rsidRDefault="008E77D2" w:rsidP="006D1437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bidi="ar-IQ"/>
              </w:rPr>
            </w:pPr>
            <w:proofErr w:type="spellStart"/>
            <w:r w:rsidRPr="008E77D2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Todjieva</w:t>
            </w:r>
            <w:proofErr w:type="spellEnd"/>
            <w:r w:rsidRPr="008E77D2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 xml:space="preserve"> Nigina </w:t>
            </w:r>
            <w:proofErr w:type="spellStart"/>
            <w:r w:rsidRPr="008E77D2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Iskandarovna</w:t>
            </w:r>
            <w:proofErr w:type="spellEnd"/>
          </w:p>
        </w:tc>
        <w:tc>
          <w:tcPr>
            <w:tcW w:w="7030" w:type="dxa"/>
            <w:tcBorders>
              <w:right w:val="nil"/>
            </w:tcBorders>
          </w:tcPr>
          <w:p w14:paraId="1CFDB7D9" w14:textId="77777777" w:rsidR="008E77D2" w:rsidRPr="008E77D2" w:rsidRDefault="008E77D2" w:rsidP="008E77D2">
            <w:pPr>
              <w:spacing w:after="0" w:line="240" w:lineRule="auto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8E77D2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Department of Obstetrics and Gynecology, Medical Faculty</w:t>
            </w:r>
          </w:p>
          <w:p w14:paraId="59681B0A" w14:textId="4C82AF90" w:rsidR="00F63A8E" w:rsidRPr="002651DC" w:rsidRDefault="008E77D2" w:rsidP="008E77D2">
            <w:pPr>
              <w:spacing w:after="0" w:line="240" w:lineRule="auto"/>
              <w:jc w:val="both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8E77D2"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  <w:t>Samarkand State Medical University</w:t>
            </w:r>
          </w:p>
        </w:tc>
      </w:tr>
      <w:tr w:rsidR="006C5C23" w:rsidRPr="0087243D" w14:paraId="59C33E11" w14:textId="77777777" w:rsidTr="00EE42D4">
        <w:trPr>
          <w:trHeight w:val="377"/>
        </w:trPr>
        <w:tc>
          <w:tcPr>
            <w:tcW w:w="3495" w:type="dxa"/>
            <w:tcBorders>
              <w:left w:val="nil"/>
            </w:tcBorders>
            <w:shd w:val="clear" w:color="auto" w:fill="0066FF"/>
            <w:textDirection w:val="btLr"/>
            <w:vAlign w:val="center"/>
          </w:tcPr>
          <w:p w14:paraId="4665228A" w14:textId="05EFCB58" w:rsidR="006C5C23" w:rsidRPr="00646CB3" w:rsidRDefault="006C5C23" w:rsidP="006D1437">
            <w:pPr>
              <w:spacing w:after="0" w:line="240" w:lineRule="auto"/>
              <w:ind w:right="-24"/>
              <w:jc w:val="center"/>
              <w:rPr>
                <w:rFonts w:ascii="Cambria" w:hAnsi="Cambria" w:cstheme="majorBidi"/>
                <w:b/>
                <w:bCs/>
                <w:color w:val="3B3838" w:themeColor="background2" w:themeShade="40"/>
                <w:sz w:val="24"/>
                <w:szCs w:val="24"/>
                <w:lang w:bidi="ar-AE"/>
              </w:rPr>
            </w:pPr>
            <w:r w:rsidRPr="0087243D">
              <w:rPr>
                <w:b/>
                <w:bCs/>
                <w:color w:val="3B3838"/>
                <w:sz w:val="20"/>
              </w:rPr>
              <w:t>ABSTRACT</w:t>
            </w:r>
          </w:p>
        </w:tc>
        <w:tc>
          <w:tcPr>
            <w:tcW w:w="7030" w:type="dxa"/>
            <w:tcBorders>
              <w:right w:val="nil"/>
            </w:tcBorders>
          </w:tcPr>
          <w:p w14:paraId="3EC6554D" w14:textId="5B58B088" w:rsidR="006C5C23" w:rsidRPr="002651DC" w:rsidRDefault="006C5C23" w:rsidP="006C5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libri"/>
                <w:b/>
                <w:bCs/>
                <w:color w:val="000000"/>
                <w:sz w:val="24"/>
                <w:szCs w:val="24"/>
              </w:rPr>
            </w:pPr>
            <w:r w:rsidRPr="00792579">
              <w:rPr>
                <w:rFonts w:ascii="Cambria" w:hAnsi="Cambria"/>
                <w:color w:val="0066FF"/>
                <w:sz w:val="24"/>
                <w:szCs w:val="24"/>
              </w:rPr>
              <w:t xml:space="preserve">Hormonal therapy administered for endometrial hyperplastic processes is essentially a countercurrent therapy aimed at correcting the menstrual cycle, eliminating overt estrogenic influences and preventing the formation of endometrial hyperplasia. Doctors currently have a wide range of treatments for endometrial hyperplasia in their arsenal. These include </w:t>
            </w:r>
            <w:proofErr w:type="spellStart"/>
            <w:r w:rsidRPr="00792579">
              <w:rPr>
                <w:rFonts w:ascii="Cambria" w:hAnsi="Cambria"/>
                <w:color w:val="0066FF"/>
                <w:sz w:val="24"/>
                <w:szCs w:val="24"/>
              </w:rPr>
              <w:t>progestins</w:t>
            </w:r>
            <w:proofErr w:type="spellEnd"/>
            <w:r w:rsidRPr="00792579">
              <w:rPr>
                <w:rFonts w:ascii="Cambria" w:hAnsi="Cambria"/>
                <w:color w:val="0066FF"/>
                <w:sz w:val="24"/>
                <w:szCs w:val="24"/>
              </w:rPr>
              <w:t xml:space="preserve">, combined oral contraceptives (OCs), </w:t>
            </w:r>
            <w:proofErr w:type="spellStart"/>
            <w:r w:rsidRPr="00792579">
              <w:rPr>
                <w:rFonts w:ascii="Cambria" w:hAnsi="Cambria"/>
                <w:color w:val="0066FF"/>
                <w:sz w:val="24"/>
                <w:szCs w:val="24"/>
              </w:rPr>
              <w:t>antigonadotropic</w:t>
            </w:r>
            <w:proofErr w:type="spellEnd"/>
            <w:r w:rsidRPr="00792579">
              <w:rPr>
                <w:rFonts w:ascii="Cambria" w:hAnsi="Cambria"/>
                <w:color w:val="0066FF"/>
                <w:sz w:val="24"/>
                <w:szCs w:val="24"/>
              </w:rPr>
              <w:t xml:space="preserve"> drugs, and </w:t>
            </w:r>
            <w:proofErr w:type="spellStart"/>
            <w:r w:rsidRPr="00792579">
              <w:rPr>
                <w:rFonts w:ascii="Cambria" w:hAnsi="Cambria"/>
                <w:color w:val="0066FF"/>
                <w:sz w:val="24"/>
                <w:szCs w:val="24"/>
              </w:rPr>
              <w:t>gonadaliberin</w:t>
            </w:r>
            <w:proofErr w:type="spellEnd"/>
            <w:r w:rsidRPr="00792579">
              <w:rPr>
                <w:rFonts w:ascii="Cambria" w:hAnsi="Cambria"/>
                <w:color w:val="0066FF"/>
                <w:sz w:val="24"/>
                <w:szCs w:val="24"/>
              </w:rPr>
              <w:t xml:space="preserve"> agonists. We examined the clinical and morphological efficacy of </w:t>
            </w:r>
            <w:proofErr w:type="spellStart"/>
            <w:r w:rsidRPr="00792579">
              <w:rPr>
                <w:rFonts w:ascii="Cambria" w:hAnsi="Cambria"/>
                <w:color w:val="0066FF"/>
                <w:sz w:val="24"/>
                <w:szCs w:val="24"/>
              </w:rPr>
              <w:t>Midiana</w:t>
            </w:r>
            <w:proofErr w:type="spellEnd"/>
            <w:r w:rsidRPr="00792579">
              <w:rPr>
                <w:rFonts w:ascii="Cambria" w:hAnsi="Cambria"/>
                <w:color w:val="0066FF"/>
                <w:sz w:val="24"/>
                <w:szCs w:val="24"/>
              </w:rPr>
              <w:t xml:space="preserve"> OC for the prevention of recurrent endometrial </w:t>
            </w:r>
            <w:proofErr w:type="spellStart"/>
            <w:r w:rsidRPr="00792579">
              <w:rPr>
                <w:rFonts w:ascii="Cambria" w:hAnsi="Cambria"/>
                <w:color w:val="0066FF"/>
                <w:sz w:val="24"/>
                <w:szCs w:val="24"/>
              </w:rPr>
              <w:t>hyperplasticity</w:t>
            </w:r>
            <w:proofErr w:type="spellEnd"/>
            <w:r w:rsidRPr="00792579">
              <w:rPr>
                <w:rFonts w:ascii="Cambria" w:hAnsi="Cambria"/>
                <w:color w:val="0066FF"/>
                <w:sz w:val="24"/>
                <w:szCs w:val="24"/>
              </w:rPr>
              <w:t xml:space="preserve"> in patients with concomitant cardiovascular disease in </w:t>
            </w:r>
            <w:proofErr w:type="spellStart"/>
            <w:r w:rsidRPr="00792579">
              <w:rPr>
                <w:rFonts w:ascii="Cambria" w:hAnsi="Cambria"/>
                <w:color w:val="0066FF"/>
                <w:sz w:val="24"/>
                <w:szCs w:val="24"/>
              </w:rPr>
              <w:t>premenopause</w:t>
            </w:r>
            <w:proofErr w:type="spellEnd"/>
            <w:r>
              <w:rPr>
                <w:rFonts w:ascii="Cambria" w:hAnsi="Cambria"/>
                <w:color w:val="0066FF"/>
                <w:sz w:val="24"/>
                <w:szCs w:val="24"/>
              </w:rPr>
              <w:t>.</w:t>
            </w:r>
          </w:p>
        </w:tc>
      </w:tr>
      <w:tr w:rsidR="006C5C23" w:rsidRPr="0087243D" w14:paraId="26E3754D" w14:textId="77777777" w:rsidTr="00EE42D4">
        <w:tc>
          <w:tcPr>
            <w:tcW w:w="3495" w:type="dxa"/>
            <w:tcBorders>
              <w:left w:val="nil"/>
            </w:tcBorders>
            <w:vAlign w:val="center"/>
          </w:tcPr>
          <w:p w14:paraId="1C61EA07" w14:textId="747928C5" w:rsidR="006C5C23" w:rsidRPr="00A82071" w:rsidRDefault="006C5C23" w:rsidP="00C42837">
            <w:pPr>
              <w:spacing w:after="0" w:line="240" w:lineRule="auto"/>
              <w:ind w:right="-24"/>
              <w:jc w:val="center"/>
              <w:rPr>
                <w:rFonts w:ascii="Cambria" w:eastAsia="Times New Roman" w:hAnsi="Cambria" w:cs="Times New Roman"/>
                <w:b/>
                <w:bCs/>
                <w:color w:val="3B3838" w:themeColor="background2" w:themeShade="40"/>
                <w:sz w:val="24"/>
                <w:szCs w:val="24"/>
                <w:vertAlign w:val="superscript"/>
              </w:rPr>
            </w:pPr>
            <w:r w:rsidRPr="00032700">
              <w:rPr>
                <w:rFonts w:ascii="Cambria" w:hAnsi="Cambria"/>
                <w:b/>
                <w:bCs/>
                <w:color w:val="0066FF"/>
                <w:sz w:val="24"/>
                <w:szCs w:val="24"/>
              </w:rPr>
              <w:t>Keywords:</w:t>
            </w:r>
          </w:p>
        </w:tc>
        <w:tc>
          <w:tcPr>
            <w:tcW w:w="7030" w:type="dxa"/>
            <w:tcBorders>
              <w:right w:val="nil"/>
            </w:tcBorders>
          </w:tcPr>
          <w:p w14:paraId="735BE169" w14:textId="671E05D3" w:rsidR="006C5C23" w:rsidRPr="00DA2D24" w:rsidRDefault="006C5C23" w:rsidP="006C5C23">
            <w:pPr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4"/>
                <w:szCs w:val="24"/>
              </w:rPr>
            </w:pPr>
            <w:proofErr w:type="spellStart"/>
            <w:r w:rsidRPr="00792579">
              <w:rPr>
                <w:rFonts w:ascii="Cambria" w:hAnsi="Cambria"/>
                <w:color w:val="0066FF"/>
                <w:sz w:val="24"/>
                <w:szCs w:val="24"/>
              </w:rPr>
              <w:t>premenopause</w:t>
            </w:r>
            <w:proofErr w:type="spellEnd"/>
            <w:r w:rsidRPr="00792579">
              <w:rPr>
                <w:rFonts w:ascii="Cambria" w:hAnsi="Cambria"/>
                <w:color w:val="0066FF"/>
                <w:sz w:val="24"/>
                <w:szCs w:val="24"/>
              </w:rPr>
              <w:t>, endometrial hyperplasia, hormone therapy.</w:t>
            </w:r>
          </w:p>
        </w:tc>
      </w:tr>
    </w:tbl>
    <w:bookmarkEnd w:id="1"/>
    <w:bookmarkEnd w:id="2"/>
    <w:bookmarkEnd w:id="3"/>
    <w:bookmarkEnd w:id="4"/>
    <w:p w14:paraId="688FC4FC" w14:textId="02D3CCB7" w:rsidR="002D33B5" w:rsidRPr="005A02E9" w:rsidRDefault="002D33B5" w:rsidP="005A02E9">
      <w:pPr>
        <w:spacing w:after="0" w:line="240" w:lineRule="auto"/>
        <w:jc w:val="both"/>
        <w:rPr>
          <w:rFonts w:ascii="Cambria" w:hAnsi="Cambria" w:cstheme="majorBidi"/>
          <w:b/>
          <w:bCs/>
          <w:sz w:val="24"/>
          <w:szCs w:val="24"/>
        </w:rPr>
      </w:pPr>
      <w:r w:rsidRPr="005A02E9">
        <w:rPr>
          <w:rFonts w:ascii="Cambria" w:hAnsi="Cambria" w:cstheme="majorBidi"/>
          <w:b/>
          <w:bCs/>
          <w:sz w:val="24"/>
          <w:szCs w:val="24"/>
        </w:rPr>
        <w:t xml:space="preserve">Introduction </w:t>
      </w:r>
    </w:p>
    <w:p w14:paraId="0673B9B1" w14:textId="77777777" w:rsidR="00792579" w:rsidRPr="00792579" w:rsidRDefault="00792579" w:rsidP="00792579">
      <w:pPr>
        <w:spacing w:after="0" w:line="240" w:lineRule="auto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Endometrial hyperplasia (EH) is an extremely important, complex and multifaceted problem of practical gynecology. The tendency of GPE to a long, recurrent course, the absence of specific, pathognomonic symptoms, the complexity of differential diagnosis and the choice of treatment methods. In addition, this pathology is a proliferative process and, if left untreated for a long period of time, can be a background for the development of endometrial cancer. Over the past 20 years, there has been a steady increase in the incidence of cervical cancer, which ranks fourth among malignant neoplasms occurring in women (after breast, lung and colon cancer), and first among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tumours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of the female reproductive organs.</w:t>
      </w:r>
    </w:p>
    <w:p w14:paraId="3E3B92AC" w14:textId="77777777" w:rsidR="00A72279" w:rsidRPr="0051584A" w:rsidRDefault="00A72279" w:rsidP="00792579">
      <w:pPr>
        <w:spacing w:after="0" w:line="240" w:lineRule="auto"/>
        <w:jc w:val="both"/>
        <w:rPr>
          <w:rFonts w:ascii="Cambria" w:hAnsi="Cambria" w:cstheme="majorBidi"/>
          <w:sz w:val="16"/>
          <w:szCs w:val="24"/>
          <w:shd w:val="clear" w:color="auto" w:fill="FFFFFF"/>
        </w:rPr>
      </w:pPr>
    </w:p>
    <w:p w14:paraId="1F97CC66" w14:textId="261914BA" w:rsidR="00A72279" w:rsidRPr="00A72279" w:rsidRDefault="00A72279" w:rsidP="00792579">
      <w:pPr>
        <w:spacing w:after="0" w:line="240" w:lineRule="auto"/>
        <w:jc w:val="both"/>
        <w:rPr>
          <w:rFonts w:ascii="Cambria" w:hAnsi="Cambria" w:cstheme="majorBidi"/>
          <w:b/>
          <w:sz w:val="24"/>
          <w:szCs w:val="24"/>
          <w:shd w:val="clear" w:color="auto" w:fill="FFFFFF"/>
        </w:rPr>
      </w:pPr>
      <w:r>
        <w:rPr>
          <w:rFonts w:ascii="Cambria" w:hAnsi="Cambria" w:cstheme="majorBidi"/>
          <w:b/>
          <w:sz w:val="24"/>
          <w:szCs w:val="24"/>
          <w:shd w:val="clear" w:color="auto" w:fill="FFFFFF"/>
        </w:rPr>
        <w:t>Objective</w:t>
      </w:r>
    </w:p>
    <w:p w14:paraId="20A77320" w14:textId="20DC88E8" w:rsidR="00792579" w:rsidRPr="00792579" w:rsidRDefault="00A72279" w:rsidP="00792579">
      <w:pPr>
        <w:spacing w:after="0" w:line="240" w:lineRule="auto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To </w:t>
      </w:r>
      <w:r w:rsidR="00792579"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determine the development of endometrial hyperplastic processes in </w:t>
      </w:r>
      <w:proofErr w:type="spellStart"/>
      <w:r w:rsidR="00792579" w:rsidRPr="00792579">
        <w:rPr>
          <w:rFonts w:ascii="Cambria" w:hAnsi="Cambria" w:cstheme="majorBidi"/>
          <w:sz w:val="24"/>
          <w:szCs w:val="24"/>
          <w:shd w:val="clear" w:color="auto" w:fill="FFFFFF"/>
        </w:rPr>
        <w:t>premenopause</w:t>
      </w:r>
      <w:proofErr w:type="spellEnd"/>
    </w:p>
    <w:p w14:paraId="061C49CE" w14:textId="77777777" w:rsidR="00AA288D" w:rsidRPr="0051584A" w:rsidRDefault="00AA288D" w:rsidP="00792579">
      <w:pPr>
        <w:spacing w:after="0" w:line="240" w:lineRule="auto"/>
        <w:jc w:val="both"/>
        <w:rPr>
          <w:rFonts w:ascii="Cambria" w:hAnsi="Cambria" w:cstheme="majorBidi"/>
          <w:sz w:val="14"/>
          <w:szCs w:val="24"/>
          <w:shd w:val="clear" w:color="auto" w:fill="FFFFFF"/>
        </w:rPr>
      </w:pPr>
    </w:p>
    <w:p w14:paraId="597D7850" w14:textId="0249B632" w:rsidR="00AA288D" w:rsidRPr="00AA288D" w:rsidRDefault="00792579" w:rsidP="00792579">
      <w:pPr>
        <w:spacing w:after="0" w:line="240" w:lineRule="auto"/>
        <w:jc w:val="both"/>
        <w:rPr>
          <w:rFonts w:ascii="Cambria" w:hAnsi="Cambria" w:cstheme="majorBidi"/>
          <w:b/>
          <w:sz w:val="24"/>
          <w:szCs w:val="24"/>
          <w:shd w:val="clear" w:color="auto" w:fill="FFFFFF"/>
        </w:rPr>
      </w:pPr>
      <w:r w:rsidRPr="00AA288D">
        <w:rPr>
          <w:rFonts w:ascii="Cambria" w:hAnsi="Cambria" w:cstheme="majorBidi"/>
          <w:b/>
          <w:sz w:val="24"/>
          <w:szCs w:val="24"/>
          <w:shd w:val="clear" w:color="auto" w:fill="FFFFFF"/>
        </w:rPr>
        <w:t xml:space="preserve">Materials of the </w:t>
      </w:r>
      <w:r w:rsidR="00AA288D" w:rsidRPr="00AA288D">
        <w:rPr>
          <w:rFonts w:ascii="Cambria" w:hAnsi="Cambria" w:cstheme="majorBidi"/>
          <w:b/>
          <w:sz w:val="24"/>
          <w:szCs w:val="24"/>
          <w:shd w:val="clear" w:color="auto" w:fill="FFFFFF"/>
        </w:rPr>
        <w:t>Study</w:t>
      </w:r>
      <w:r w:rsidRPr="00AA288D">
        <w:rPr>
          <w:rFonts w:ascii="Cambria" w:hAnsi="Cambria" w:cstheme="majorBidi"/>
          <w:b/>
          <w:sz w:val="24"/>
          <w:szCs w:val="24"/>
          <w:shd w:val="clear" w:color="auto" w:fill="FFFFFF"/>
        </w:rPr>
        <w:t>:</w:t>
      </w:r>
    </w:p>
    <w:p w14:paraId="52F85277" w14:textId="352FEA9D" w:rsidR="00792579" w:rsidRPr="00792579" w:rsidRDefault="00792579" w:rsidP="00792579">
      <w:pPr>
        <w:spacing w:after="0" w:line="240" w:lineRule="auto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We performed a clinical and laboratory examination and treatment of 60 patients aged 41 to 45 years with a history of recurrent endometrial hyperplasia. The mean age was 43.1±1.05 years.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Oligomenorrhagia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(in 63.9% of the patients) alternating with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menometrorrhagia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dominated in the menstrual history, 30 (27.8%) patients had menorrhagia, and 4.6% had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oligomenorrhagia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, whereas 3.7% of the women had no clinical manifestations of endometrial hyperplasia. In addition, 75% of the women were found to have premenstrual syndrome (PMS) with severe pain syndromes due to fluid retention during the second phase of menstruation. The pain syndromes included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cephalgia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(100%),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mastalgia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(70.6%) and fibromyalgia (52.8%). All patients had a history of repeated diagnostic uterine curettage. The mean number of previous diagnostic curettage procedures was 4.2±0.1. Histological examination of a history of 108 patients resulted in the diagnosis of PGE without atypia in 65 (60.2%) women and complex endometrial hyperplasia without atypia in 43 (39.8%) women. Taking into account the histological findings, all the women examined had previously been prescribed</w:t>
      </w:r>
      <w:bookmarkStart w:id="5" w:name="_GoBack"/>
      <w:bookmarkEnd w:id="5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hormonal therapy.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Progestagen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therapy was given to 62 (57.4%) </w:t>
      </w:r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lastRenderedPageBreak/>
        <w:t xml:space="preserve">patients,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gonadoliberin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agonists to 21.3%, IQT to 48 (44.4%) women for 6 months in standard doses. All the patients were diagnosed with cardiovascular pathology mainly represented by arterial hypertension manifested both as hypertensive disease I (66.7%) and as NCD in hypertensive type which was registered in 36 (33.3%) women. Diseases of the gastro-intestinal tract occurred in almost every second patient (44.4%) with endometrial hyperplasia. Of the diseases of the respiratory system, apart from frequent acute respiratory diseases, tonsillitis and pharyngitis, 22 (20.4%) women in the main group had chronic bronchitis. All the patients underwent transvaginal ultrasound scanning, hysteroscopy with a separate diagnostic scraping and subsequent histological examination of endometrial and cervical scrapings. The intrauterine intervention was indicated to assess the efficacy of hormone therapy. In 62 (57.4%) patients with POE were found to have no morphological signs of endometrial hyperplasia after 6 months of hormonal therapy, and 3 (2.8%) had preserved foci of hyperplastic endometrium. Only 29 (26.9%) patients with complicated endometrial hyperplasia after 6 months of hormonal therapy had no morphological signs of endometrial hyperplasia, while 14 (12.9%) had preserved foci of hyperplastic endometrium classified as PHE. All patients with recurrent hyperplasia after therapy were excluded from further studies due to the need for surgical treatment.</w:t>
      </w:r>
    </w:p>
    <w:p w14:paraId="679C6583" w14:textId="77777777" w:rsidR="00F70001" w:rsidRDefault="00F70001" w:rsidP="00792579">
      <w:pPr>
        <w:spacing w:after="0" w:line="240" w:lineRule="auto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</w:p>
    <w:p w14:paraId="1B806FC8" w14:textId="2CD15BF0" w:rsidR="00792579" w:rsidRPr="00F70001" w:rsidRDefault="00792579" w:rsidP="00792579">
      <w:pPr>
        <w:spacing w:after="0" w:line="240" w:lineRule="auto"/>
        <w:jc w:val="both"/>
        <w:rPr>
          <w:rFonts w:ascii="Cambria" w:hAnsi="Cambria" w:cstheme="majorBidi"/>
          <w:b/>
          <w:sz w:val="24"/>
          <w:szCs w:val="24"/>
          <w:shd w:val="clear" w:color="auto" w:fill="FFFFFF"/>
        </w:rPr>
      </w:pPr>
      <w:r w:rsidRPr="00F70001">
        <w:rPr>
          <w:rFonts w:ascii="Cambria" w:hAnsi="Cambria" w:cstheme="majorBidi"/>
          <w:b/>
          <w:sz w:val="24"/>
          <w:szCs w:val="24"/>
          <w:shd w:val="clear" w:color="auto" w:fill="FFFFFF"/>
        </w:rPr>
        <w:t xml:space="preserve">Results of the </w:t>
      </w:r>
      <w:r w:rsidR="00F70001" w:rsidRPr="00F70001">
        <w:rPr>
          <w:rFonts w:ascii="Cambria" w:hAnsi="Cambria" w:cstheme="majorBidi"/>
          <w:b/>
          <w:sz w:val="24"/>
          <w:szCs w:val="24"/>
          <w:shd w:val="clear" w:color="auto" w:fill="FFFFFF"/>
        </w:rPr>
        <w:t>Study</w:t>
      </w:r>
    </w:p>
    <w:p w14:paraId="294D0940" w14:textId="77777777" w:rsidR="00792579" w:rsidRPr="00792579" w:rsidRDefault="00792579" w:rsidP="00792579">
      <w:pPr>
        <w:spacing w:after="0" w:line="240" w:lineRule="auto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To prevent endometrial hyperplasia, all patients with a positive effect of hormonal therapy (endometrial atrophy) were prescribed the combined low-dose monophasic oral contraceptive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Midiana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(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Gedeon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Richter) in a prolonged regimen.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Midiana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was developed in the search for positive non-contraceptive effects and ways to improve the tolerability of oral contraceptives. It contains 30 µg of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ethinylestradiol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and 3 mg of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drospirenone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.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Drospirenone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in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Midiana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OC is a derivative of 17α-spironolactone whose pharmacological properties represent a unique combination of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progestagenic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, anti-mineralocorticoid, and anti-androgenic effects without estrogenic and </w:t>
      </w:r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lastRenderedPageBreak/>
        <w:t xml:space="preserve">glucocorticoid activity.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Drospirenone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has a pharmacological profile similar to that of endogenous progesterone. In normal menstruation, estrogen-induced fluid retention is compensated by the anti-mineralocorticoid action of progesterone. When taking OCs, this balance disappears, which may result in weight gain due to fluid retention in the body. The anti-mineralocorticoid effect of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Midiana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OCs can restore the lost balance between fluid retention and excretion and achieve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stabilisation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of body weight and blood pressure (BP). The patients were followed up for 1 year. According to the study protocol, clinical and laboratory parameters were monitored at baseline and during Midian administration: body weight and BP dynamics were assessed. Endometrial mucosa morphological control was carried out after 6 months of Midian administration by endometrial biopsy. The endometrial thickness was monitored after 3, 6 and 12 months. It is noteworthy that acyclic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haemorrhage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was detected in the first 2 menstrual periods in 3 patients. Due to this fact, 2 patients refused further use of the drug. Against the background of taking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Midiana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OCs after 6 months,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oligomenorrhoea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was detected in 58 (63.7%) patients. At the end of one year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oligomenorrhea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was diagnosed in 73 (80.2%) patients. During the use of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Midiana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OC, body weight decreased and further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stabilised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. On the average in the 3rd month of use 45.1% of </w:t>
      </w:r>
      <w:proofErr w:type="gram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patients</w:t>
      </w:r>
      <w:proofErr w:type="gram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body weight decreased by 0.5 kg or more, in 6 months of use a decrease in body weight (which remained during the year) of 1-2 kg was found in 35 (35.2%) patients. Thus, the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antimineralocorticoid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activity of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drospirenone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helps to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stabilise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body weight and prevent its increase in patients with GBE. An additional result of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drospirenone's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anti-mineralocorticoid effect is BP stability. The dynamic control of BP against Midian OC has revealed a tendency for its decrease in 74 (81.3%), while against other OCs [2] there is a tendency for its increase. It should be noted that there was no significant difference in BP change compared to baseline parameters. Although the positive anti-mineralocorticoid effect of Midian OCs is undisputed, they should not be considered as an alternative to spironolactone or other agents used to increase diuresis and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stabilise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BP. </w:t>
      </w:r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lastRenderedPageBreak/>
        <w:t xml:space="preserve">In addition, the study has conclusively proved that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Midiana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OCs have a positive effect on PMS symptoms, which reduce the quality of life of patients with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HpE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. As a result of the therapy, 68 (74.7%) women with PMS experienced a therapeutic effect. At the start of Midian® OC the mean endometrial thickness was 4.2±0.2 mm and did not change significantly over 6 months (after 3 months - 4.0±0.1 mm, and after 6 months - 3.8±0.2 mm). A more detailed analysis showed that 45.1% of women had an endometrial thickness of less than 5 mm in the first 6 months, 50.5% of cases ranged from 5 to 10 mm, and only 4.4% of patients had an endometrial thickness greater than 10 mm at 6 months. In 12 months of Midian OC use, a clear trend was seen in the reduction of median M-echo, its mean value decreased significantly with respect to the initial one to 3.1±0.2 mm. To assess the efficacy of the therapy, endometrial tissue samples obtained by endometrial biopsy were examined histologically after 6 months of Midian's OC use. Morphological signs of endometrial hyperplasia were found to be absent in 87 (95%) patients after 6 months of using the drug, whereas 4 (4.4%) women had foci of hyperplastic endometrium.</w:t>
      </w:r>
    </w:p>
    <w:p w14:paraId="1FF4F086" w14:textId="77777777" w:rsidR="00AA288D" w:rsidRPr="00844E6B" w:rsidRDefault="00AA288D" w:rsidP="00792579">
      <w:pPr>
        <w:spacing w:after="0" w:line="240" w:lineRule="auto"/>
        <w:jc w:val="both"/>
        <w:rPr>
          <w:rFonts w:ascii="Cambria" w:hAnsi="Cambria" w:cstheme="majorBidi"/>
          <w:b/>
          <w:sz w:val="16"/>
          <w:szCs w:val="24"/>
          <w:shd w:val="clear" w:color="auto" w:fill="FFFFFF"/>
        </w:rPr>
      </w:pPr>
    </w:p>
    <w:p w14:paraId="0C31AD19" w14:textId="115845C3" w:rsidR="00AA288D" w:rsidRPr="00AA288D" w:rsidRDefault="00AA288D" w:rsidP="00792579">
      <w:pPr>
        <w:spacing w:after="0" w:line="240" w:lineRule="auto"/>
        <w:jc w:val="both"/>
        <w:rPr>
          <w:rFonts w:ascii="Cambria" w:hAnsi="Cambria" w:cstheme="majorBidi"/>
          <w:b/>
          <w:sz w:val="24"/>
          <w:szCs w:val="24"/>
          <w:shd w:val="clear" w:color="auto" w:fill="FFFFFF"/>
        </w:rPr>
      </w:pPr>
      <w:r>
        <w:rPr>
          <w:rFonts w:ascii="Cambria" w:hAnsi="Cambria" w:cstheme="majorBidi"/>
          <w:b/>
          <w:sz w:val="24"/>
          <w:szCs w:val="24"/>
          <w:shd w:val="clear" w:color="auto" w:fill="FFFFFF"/>
        </w:rPr>
        <w:t>Conclusions</w:t>
      </w:r>
    </w:p>
    <w:p w14:paraId="730E1734" w14:textId="61336835" w:rsidR="00AA288D" w:rsidRDefault="00792579" w:rsidP="00792579">
      <w:pPr>
        <w:spacing w:after="0" w:line="240" w:lineRule="auto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Thus, the results obtained in the present study suggest that the use of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Midiana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OC as a highly effective agent for the prevention of recurrent GEE in women with concomitant cardiovascular pathology in </w:t>
      </w:r>
      <w:proofErr w:type="spellStart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>premenopause</w:t>
      </w:r>
      <w:proofErr w:type="spellEnd"/>
      <w:r w:rsidRPr="00792579">
        <w:rPr>
          <w:rFonts w:ascii="Cambria" w:hAnsi="Cambria" w:cstheme="majorBidi"/>
          <w:sz w:val="24"/>
          <w:szCs w:val="24"/>
          <w:shd w:val="clear" w:color="auto" w:fill="FFFFFF"/>
        </w:rPr>
        <w:t xml:space="preserve"> is scientifically justified.  </w:t>
      </w:r>
    </w:p>
    <w:p w14:paraId="666D5967" w14:textId="77777777" w:rsidR="00AA288D" w:rsidRPr="00844E6B" w:rsidRDefault="00AA288D" w:rsidP="00792579">
      <w:pPr>
        <w:spacing w:after="0" w:line="240" w:lineRule="auto"/>
        <w:jc w:val="both"/>
        <w:rPr>
          <w:rFonts w:ascii="Cambria" w:hAnsi="Cambria" w:cstheme="majorBidi"/>
          <w:sz w:val="18"/>
          <w:szCs w:val="24"/>
          <w:shd w:val="clear" w:color="auto" w:fill="FFFFFF"/>
        </w:rPr>
      </w:pPr>
    </w:p>
    <w:p w14:paraId="0B689B91" w14:textId="132D04F0" w:rsidR="00792579" w:rsidRPr="00AA288D" w:rsidRDefault="00792579" w:rsidP="00792579">
      <w:pPr>
        <w:spacing w:after="0" w:line="240" w:lineRule="auto"/>
        <w:jc w:val="both"/>
        <w:rPr>
          <w:rFonts w:ascii="Cambria" w:hAnsi="Cambria" w:cstheme="majorBidi"/>
          <w:b/>
          <w:sz w:val="24"/>
          <w:szCs w:val="24"/>
          <w:shd w:val="clear" w:color="auto" w:fill="FFFFFF"/>
        </w:rPr>
      </w:pPr>
      <w:r w:rsidRPr="00AA288D">
        <w:rPr>
          <w:rFonts w:ascii="Cambria" w:hAnsi="Cambria" w:cstheme="majorBidi"/>
          <w:b/>
          <w:sz w:val="24"/>
          <w:szCs w:val="24"/>
          <w:shd w:val="clear" w:color="auto" w:fill="FFFFFF"/>
        </w:rPr>
        <w:t xml:space="preserve">List </w:t>
      </w:r>
      <w:r w:rsidR="00AA288D" w:rsidRPr="00AA288D">
        <w:rPr>
          <w:rFonts w:ascii="Cambria" w:hAnsi="Cambria" w:cstheme="majorBidi"/>
          <w:b/>
          <w:sz w:val="24"/>
          <w:szCs w:val="24"/>
          <w:shd w:val="clear" w:color="auto" w:fill="FFFFFF"/>
        </w:rPr>
        <w:t>of References</w:t>
      </w:r>
    </w:p>
    <w:p w14:paraId="4724CFCF" w14:textId="77777777" w:rsidR="00792579" w:rsidRPr="00CF4C6D" w:rsidRDefault="00792579" w:rsidP="00CF4C6D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Gallos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I.D.,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Ofinran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O.,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Shehmar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M.,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Coomarasamy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A., Gupta J.K. Current management of endometrial hyperplasia – a survey of United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Kindom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consultant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gynaecologists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.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Eur.J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.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Obstet.Gynecol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. 2011;158(2);305-307</w:t>
      </w:r>
    </w:p>
    <w:p w14:paraId="6A4512A3" w14:textId="77777777" w:rsidR="00792579" w:rsidRPr="00CF4C6D" w:rsidRDefault="00792579" w:rsidP="00CF4C6D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Azimov M. I.,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Shomurodov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K.E. A technique for Cleft Palate Repair. Journal of research in health science. Vol. 1, No. 2, 2018, pp. 56-59.</w:t>
      </w:r>
    </w:p>
    <w:p w14:paraId="76E8DA44" w14:textId="77777777" w:rsidR="00792579" w:rsidRPr="00CF4C6D" w:rsidRDefault="00792579" w:rsidP="00CF4C6D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Khamdamov B.Z. Indicators of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immunocitocine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status in purulent-necrotic lesions of the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lover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extremities in patients with diabetes </w:t>
      </w:r>
      <w:proofErr w:type="gram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mellitus./</w:t>
      </w:r>
      <w:proofErr w:type="gram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/American Journal of Medicine and Medical Sciences, 2020 10(7) </w:t>
      </w:r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lastRenderedPageBreak/>
        <w:t>473-478 DOI: 10.5923/j.ajmm.2020.- 1007.08 10.</w:t>
      </w:r>
    </w:p>
    <w:p w14:paraId="5E0A67D9" w14:textId="77777777" w:rsidR="00792579" w:rsidRPr="00CF4C6D" w:rsidRDefault="00792579" w:rsidP="00CF4C6D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M. I.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Kamalova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,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N.</w:t>
      </w:r>
      <w:proofErr w:type="gram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K.Khaidarov</w:t>
      </w:r>
      <w:proofErr w:type="spellEnd"/>
      <w:proofErr w:type="gram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,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Sh.E.Islamov,Pathomorphological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Features of hemorrhagic brain strokes, Journal of Biomedicine and Practice 2020, Special issue, pp. 101-105</w:t>
      </w:r>
    </w:p>
    <w:p w14:paraId="503EE77E" w14:textId="77777777" w:rsidR="00792579" w:rsidRPr="00CF4C6D" w:rsidRDefault="00792579" w:rsidP="00CF4C6D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Kamalova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Мalika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Ilkhomovna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,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Islamov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Shavkat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Eriyigitovich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,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Khaidarov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Nodir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Kadyrovich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. Morphological Features </w:t>
      </w:r>
      <w:proofErr w:type="gram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Of</w:t>
      </w:r>
      <w:proofErr w:type="gram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Microvascular Tissue Of The Brain At Hemorrhagic Stroke. The American Journal of Medical Sciences and Pharmaceutical </w:t>
      </w:r>
      <w:proofErr w:type="gram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Research,  2020</w:t>
      </w:r>
      <w:proofErr w:type="gram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. 2(10), 53-59</w:t>
      </w:r>
    </w:p>
    <w:p w14:paraId="1843A9B0" w14:textId="77777777" w:rsidR="00792579" w:rsidRPr="00CF4C6D" w:rsidRDefault="00792579" w:rsidP="00CF4C6D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Khodjieva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D. T., Khaydarova D. K.,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Khaydarov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N. K. Complex evaluation of clinical and instrumental data for justification of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optive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treatment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activites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in patients with resistant forms of epilepsy. American Journal of Research. USA. № 11-12, 2018. C.186-193.</w:t>
      </w:r>
    </w:p>
    <w:p w14:paraId="76D18167" w14:textId="63E02D7F" w:rsidR="00792579" w:rsidRPr="00CF4C6D" w:rsidRDefault="00792579" w:rsidP="00CF4C6D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Khodjieva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D. T., Khaydarova D. K. Clinical and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neuroph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clinical and neurophysiological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ch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ogical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characteristics of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teristics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of post-insular cognitive disorders and issues of therapy optimization. Central Asian Journal of Pediatrics. Dec.2019. P 82-86</w:t>
      </w:r>
    </w:p>
    <w:p w14:paraId="5E5E3CA9" w14:textId="77777777" w:rsidR="00792579" w:rsidRPr="00CF4C6D" w:rsidRDefault="00792579" w:rsidP="00CF4C6D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Sadriddin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Sayfullaevich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Pulatov. (2022). Efficacy of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ipidacrine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in the recovery period of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ischaemic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stroke. World Bulletin of Public Health, 7, 28-32. </w:t>
      </w:r>
    </w:p>
    <w:p w14:paraId="6049FD21" w14:textId="77777777" w:rsidR="00792579" w:rsidRPr="00CF4C6D" w:rsidRDefault="00792579" w:rsidP="00CF4C6D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Tukhtarov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B.E., Comparative assessment of the biological value of average daily diets in professional athletes of Uzbekistan. Gig. Sanit., 2010, 2, 65–67.</w:t>
      </w:r>
    </w:p>
    <w:p w14:paraId="1180BDBF" w14:textId="77777777" w:rsidR="00792579" w:rsidRPr="00CF4C6D" w:rsidRDefault="00792579" w:rsidP="00844E6B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.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Ergashovich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, K. B., &amp;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Ilhomovna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, K. M. (2021). Morphological Features of Human and Rat Liver and Biliary Tract Comparisons (Literary Review). International Journal of Discoveries and Innovations in Applied Sciences, 1(4), 27–29. </w:t>
      </w:r>
    </w:p>
    <w:p w14:paraId="12FC0B4D" w14:textId="4E156739" w:rsidR="00792579" w:rsidRPr="00CF4C6D" w:rsidRDefault="00792579" w:rsidP="00844E6B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Kamalova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M.,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Khaidarov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N.,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Shomurodov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K. Microscopic examination of brain tissue in hemorrhagic stroke in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uzbekistan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//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Матеріали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конференцій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МЦНД. – 2021.</w:t>
      </w:r>
    </w:p>
    <w:p w14:paraId="6A4A4450" w14:textId="77777777" w:rsidR="00792579" w:rsidRPr="00CF4C6D" w:rsidRDefault="00792579" w:rsidP="00CF4C6D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Cambria" w:hAnsi="Cambria" w:cstheme="majorBidi"/>
          <w:sz w:val="24"/>
          <w:szCs w:val="24"/>
          <w:shd w:val="clear" w:color="auto" w:fill="FFFFFF"/>
        </w:rPr>
      </w:pP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Kamalova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, M., Ismatova, S.,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Kayumova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, S.,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Gulomova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, S., &amp; Akhmedova, J. (2021). Blood supply to the shoulder and forearm muscles in the human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foetus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.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Збірник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наукових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>праць</w:t>
      </w:r>
      <w:proofErr w:type="spellEnd"/>
      <w:r w:rsidRPr="00CF4C6D">
        <w:rPr>
          <w:rFonts w:ascii="Cambria" w:hAnsi="Cambria" w:cstheme="majorBidi"/>
          <w:sz w:val="24"/>
          <w:szCs w:val="24"/>
          <w:shd w:val="clear" w:color="auto" w:fill="FFFFFF"/>
        </w:rPr>
        <w:t xml:space="preserve"> ΛΌГOΣ.</w:t>
      </w:r>
    </w:p>
    <w:sectPr w:rsidR="00792579" w:rsidRPr="00CF4C6D" w:rsidSect="0051584A">
      <w:headerReference w:type="default" r:id="rId9"/>
      <w:footerReference w:type="default" r:id="rId10"/>
      <w:type w:val="continuous"/>
      <w:pgSz w:w="11906" w:h="16838" w:code="9"/>
      <w:pgMar w:top="720" w:right="720" w:bottom="720" w:left="720" w:header="709" w:footer="709" w:gutter="0"/>
      <w:pgNumType w:start="43"/>
      <w:cols w:num="2" w:space="38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CC7DD" w14:textId="77777777" w:rsidR="00503331" w:rsidRDefault="00503331" w:rsidP="00F63A8E">
      <w:pPr>
        <w:spacing w:after="0" w:line="240" w:lineRule="auto"/>
      </w:pPr>
      <w:r>
        <w:separator/>
      </w:r>
    </w:p>
  </w:endnote>
  <w:endnote w:type="continuationSeparator" w:id="0">
    <w:p w14:paraId="638B75E7" w14:textId="77777777" w:rsidR="00503331" w:rsidRDefault="00503331" w:rsidP="00F63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omiSans EF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0583A" w14:textId="77777777" w:rsidR="00DA2D24" w:rsidRDefault="00DA2D24" w:rsidP="00DA2D24">
    <w:pPr>
      <w:pStyle w:val="Footer"/>
      <w:pBdr>
        <w:bottom w:val="single" w:sz="12" w:space="1" w:color="auto"/>
      </w:pBdr>
      <w:jc w:val="both"/>
      <w:rPr>
        <w:rFonts w:ascii="Baskerville Old Face" w:hAnsi="Baskerville Old Face"/>
        <w:b/>
        <w:sz w:val="28"/>
      </w:rPr>
    </w:pPr>
  </w:p>
  <w:p w14:paraId="342573B3" w14:textId="77777777" w:rsidR="00DA2D24" w:rsidRDefault="00DA2D24" w:rsidP="00DA2D24">
    <w:pPr>
      <w:pStyle w:val="Footer"/>
      <w:tabs>
        <w:tab w:val="center" w:pos="0"/>
        <w:tab w:val="right" w:pos="10466"/>
      </w:tabs>
      <w:rPr>
        <w:b/>
        <w:sz w:val="28"/>
      </w:rPr>
    </w:pPr>
    <w:r>
      <w:rPr>
        <w:rFonts w:ascii="Baskerville Old Face" w:hAnsi="Baskerville Old Face"/>
        <w:b/>
        <w:sz w:val="28"/>
      </w:rPr>
      <w:t xml:space="preserve">Eurasian Medical Research Periodical  </w:t>
    </w:r>
    <w:r>
      <w:rPr>
        <w:rFonts w:ascii="Baskerville Old Face" w:hAnsi="Baskerville Old Face"/>
        <w:b/>
      </w:rPr>
      <w:t xml:space="preserve">          </w:t>
    </w:r>
    <w:r>
      <w:rPr>
        <w:rFonts w:ascii="Baskerville Old Face" w:hAnsi="Baskerville Old Face"/>
        <w:b/>
        <w:lang w:val="en-IN"/>
      </w:rPr>
      <w:t xml:space="preserve">                                                                </w:t>
    </w:r>
    <w:r>
      <w:rPr>
        <w:rFonts w:ascii="Baskerville Old Face" w:hAnsi="Baskerville Old Face"/>
      </w:rPr>
      <w:t>www.geniusjournals.org</w:t>
    </w:r>
    <w:r>
      <w:rPr>
        <w:rFonts w:ascii="Baskerville Old Face" w:hAnsi="Baskerville Old Face"/>
        <w:b/>
        <w:sz w:val="28"/>
      </w:rPr>
      <w:t xml:space="preserve"> </w:t>
    </w:r>
  </w:p>
  <w:p w14:paraId="1BD47092" w14:textId="11F69342" w:rsidR="00DA2D24" w:rsidRDefault="00DA2D24" w:rsidP="00DA2D24">
    <w:pPr>
      <w:pStyle w:val="Footer"/>
      <w:tabs>
        <w:tab w:val="center" w:pos="0"/>
        <w:tab w:val="right" w:pos="10466"/>
      </w:tabs>
      <w:jc w:val="right"/>
      <w:rPr>
        <w:rFonts w:ascii="Baskerville Old Face" w:hAnsi="Baskerville Old Face"/>
      </w:rPr>
    </w:pPr>
    <w:r>
      <w:rPr>
        <w:rFonts w:ascii="Baskerville Old Face" w:hAnsi="Baskerville Old Face"/>
        <w:b/>
        <w:sz w:val="28"/>
        <w:lang w:val="en-IN"/>
      </w:rPr>
      <w:t xml:space="preserve">  </w:t>
    </w:r>
    <w:r>
      <w:rPr>
        <w:rFonts w:ascii="Baskerville Old Face" w:hAnsi="Baskerville Old Face"/>
        <w:b/>
        <w:sz w:val="28"/>
      </w:rPr>
      <w:t>Page</w:t>
    </w:r>
    <w:r>
      <w:rPr>
        <w:rFonts w:ascii="Baskerville Old Face" w:hAnsi="Baskerville Old Face"/>
      </w:rPr>
      <w:t xml:space="preserve"> | </w:t>
    </w:r>
    <w:r>
      <w:rPr>
        <w:rFonts w:ascii="Baskerville Old Face" w:hAnsi="Baskerville Old Face"/>
      </w:rPr>
      <w:fldChar w:fldCharType="begin"/>
    </w:r>
    <w:r>
      <w:rPr>
        <w:rFonts w:ascii="Baskerville Old Face" w:hAnsi="Baskerville Old Face"/>
      </w:rPr>
      <w:instrText xml:space="preserve"> PAGE   \* MERGEFORMAT </w:instrText>
    </w:r>
    <w:r>
      <w:rPr>
        <w:rFonts w:ascii="Baskerville Old Face" w:hAnsi="Baskerville Old Face"/>
      </w:rPr>
      <w:fldChar w:fldCharType="separate"/>
    </w:r>
    <w:r w:rsidR="0051584A">
      <w:rPr>
        <w:rFonts w:ascii="Baskerville Old Face" w:hAnsi="Baskerville Old Face"/>
        <w:noProof/>
      </w:rPr>
      <w:t>45</w:t>
    </w:r>
    <w:r>
      <w:rPr>
        <w:rFonts w:ascii="Baskerville Old Face" w:hAnsi="Baskerville Old Fac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833A5" w14:textId="77777777" w:rsidR="00503331" w:rsidRDefault="00503331" w:rsidP="00F63A8E">
      <w:pPr>
        <w:spacing w:after="0" w:line="240" w:lineRule="auto"/>
      </w:pPr>
      <w:r>
        <w:separator/>
      </w:r>
    </w:p>
  </w:footnote>
  <w:footnote w:type="continuationSeparator" w:id="0">
    <w:p w14:paraId="5EB09FB5" w14:textId="77777777" w:rsidR="00503331" w:rsidRDefault="00503331" w:rsidP="00F63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DF2F2" w14:textId="77777777" w:rsidR="00F63A8E" w:rsidRDefault="00F63A8E" w:rsidP="00F63A8E">
    <w:pPr>
      <w:pStyle w:val="Header"/>
      <w:pBdr>
        <w:bottom w:val="single" w:sz="12" w:space="1" w:color="auto"/>
      </w:pBdr>
      <w:tabs>
        <w:tab w:val="right" w:pos="10466"/>
      </w:tabs>
      <w:rPr>
        <w:b/>
      </w:rPr>
    </w:pPr>
    <w:r w:rsidRPr="00897D64">
      <w:rPr>
        <w:b/>
      </w:rPr>
      <w:t xml:space="preserve">Volume </w:t>
    </w:r>
    <w:r>
      <w:rPr>
        <w:b/>
      </w:rPr>
      <w:t>9</w:t>
    </w:r>
    <w:r w:rsidRPr="00897D64">
      <w:rPr>
        <w:b/>
      </w:rPr>
      <w:t xml:space="preserve">| </w:t>
    </w:r>
    <w:r>
      <w:rPr>
        <w:b/>
      </w:rPr>
      <w:t xml:space="preserve">June </w:t>
    </w:r>
    <w:r w:rsidRPr="00897D64">
      <w:rPr>
        <w:b/>
      </w:rPr>
      <w:t>202</w:t>
    </w:r>
    <w:r>
      <w:rPr>
        <w:b/>
      </w:rPr>
      <w:t xml:space="preserve">2                      </w:t>
    </w:r>
    <w:r>
      <w:rPr>
        <w:b/>
        <w:lang w:val="en-IN"/>
      </w:rPr>
      <w:t xml:space="preserve">                         </w:t>
    </w:r>
    <w:r>
      <w:rPr>
        <w:b/>
      </w:rPr>
      <w:t xml:space="preserve">    </w:t>
    </w:r>
    <w:r w:rsidRPr="00755F6C">
      <w:rPr>
        <w:b/>
      </w:rPr>
      <w:t xml:space="preserve"> </w:t>
    </w:r>
    <w:r>
      <w:rPr>
        <w:b/>
        <w:lang w:val="en-IN"/>
      </w:rPr>
      <w:t xml:space="preserve">                                                                                        </w:t>
    </w:r>
    <w:r w:rsidRPr="00897D64">
      <w:rPr>
        <w:b/>
      </w:rPr>
      <w:t xml:space="preserve">ISSN: </w:t>
    </w:r>
    <w:r w:rsidRPr="004654C1">
      <w:rPr>
        <w:b/>
        <w:bCs/>
        <w:shd w:val="clear" w:color="auto" w:fill="FFFFFF"/>
      </w:rPr>
      <w:t>2795-7624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E62BB"/>
    <w:multiLevelType w:val="hybridMultilevel"/>
    <w:tmpl w:val="D4D82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71838"/>
    <w:multiLevelType w:val="hybridMultilevel"/>
    <w:tmpl w:val="950A2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E4ACC"/>
    <w:multiLevelType w:val="hybridMultilevel"/>
    <w:tmpl w:val="1E4481D0"/>
    <w:lvl w:ilvl="0" w:tplc="A38A5032">
      <w:start w:val="1"/>
      <w:numFmt w:val="decimal"/>
      <w:lvlText w:val="%1-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64CC20D6"/>
    <w:multiLevelType w:val="hybridMultilevel"/>
    <w:tmpl w:val="B238BE3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837DF"/>
    <w:multiLevelType w:val="hybridMultilevel"/>
    <w:tmpl w:val="9ABEF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900"/>
    <w:rsid w:val="000262D7"/>
    <w:rsid w:val="0004097D"/>
    <w:rsid w:val="00070D98"/>
    <w:rsid w:val="00071E22"/>
    <w:rsid w:val="00091CC5"/>
    <w:rsid w:val="000C4BD9"/>
    <w:rsid w:val="000D5BFF"/>
    <w:rsid w:val="000F24A9"/>
    <w:rsid w:val="001112D7"/>
    <w:rsid w:val="00120C39"/>
    <w:rsid w:val="00122A15"/>
    <w:rsid w:val="001305E5"/>
    <w:rsid w:val="00130B8A"/>
    <w:rsid w:val="001450ED"/>
    <w:rsid w:val="001539DE"/>
    <w:rsid w:val="00155AF3"/>
    <w:rsid w:val="001612BD"/>
    <w:rsid w:val="00162F57"/>
    <w:rsid w:val="00192A70"/>
    <w:rsid w:val="001E4BA3"/>
    <w:rsid w:val="00216F8C"/>
    <w:rsid w:val="002236FF"/>
    <w:rsid w:val="002402DE"/>
    <w:rsid w:val="00261909"/>
    <w:rsid w:val="002651DC"/>
    <w:rsid w:val="00290F52"/>
    <w:rsid w:val="00294153"/>
    <w:rsid w:val="002954D9"/>
    <w:rsid w:val="002B3E41"/>
    <w:rsid w:val="002D33B5"/>
    <w:rsid w:val="0031285F"/>
    <w:rsid w:val="0032198B"/>
    <w:rsid w:val="003251B4"/>
    <w:rsid w:val="003312EE"/>
    <w:rsid w:val="00335158"/>
    <w:rsid w:val="0034671E"/>
    <w:rsid w:val="003638DB"/>
    <w:rsid w:val="00372D6E"/>
    <w:rsid w:val="003733C0"/>
    <w:rsid w:val="003800F5"/>
    <w:rsid w:val="00380B25"/>
    <w:rsid w:val="003831D5"/>
    <w:rsid w:val="00391D50"/>
    <w:rsid w:val="003A0FE0"/>
    <w:rsid w:val="003A2DC4"/>
    <w:rsid w:val="003C0FF2"/>
    <w:rsid w:val="003E7D84"/>
    <w:rsid w:val="003F6CD9"/>
    <w:rsid w:val="00411905"/>
    <w:rsid w:val="0041276B"/>
    <w:rsid w:val="00417F8B"/>
    <w:rsid w:val="00423342"/>
    <w:rsid w:val="00425899"/>
    <w:rsid w:val="0043280D"/>
    <w:rsid w:val="004342A9"/>
    <w:rsid w:val="00477579"/>
    <w:rsid w:val="00481261"/>
    <w:rsid w:val="00487626"/>
    <w:rsid w:val="004A1E59"/>
    <w:rsid w:val="004A76C8"/>
    <w:rsid w:val="004B4B36"/>
    <w:rsid w:val="004B7C3F"/>
    <w:rsid w:val="004D7BB4"/>
    <w:rsid w:val="004E1065"/>
    <w:rsid w:val="004E2DD4"/>
    <w:rsid w:val="004F2093"/>
    <w:rsid w:val="004F5690"/>
    <w:rsid w:val="005009D7"/>
    <w:rsid w:val="00501DEC"/>
    <w:rsid w:val="00503331"/>
    <w:rsid w:val="0051584A"/>
    <w:rsid w:val="00516429"/>
    <w:rsid w:val="00534535"/>
    <w:rsid w:val="00550688"/>
    <w:rsid w:val="00574FBD"/>
    <w:rsid w:val="005932E7"/>
    <w:rsid w:val="005A02E9"/>
    <w:rsid w:val="005A1B86"/>
    <w:rsid w:val="005D38C0"/>
    <w:rsid w:val="005D6B0B"/>
    <w:rsid w:val="005E6377"/>
    <w:rsid w:val="00617085"/>
    <w:rsid w:val="006267C7"/>
    <w:rsid w:val="00641917"/>
    <w:rsid w:val="00653E99"/>
    <w:rsid w:val="00671E3D"/>
    <w:rsid w:val="0067787D"/>
    <w:rsid w:val="00690C7D"/>
    <w:rsid w:val="006C5C23"/>
    <w:rsid w:val="006D2BB2"/>
    <w:rsid w:val="006F0295"/>
    <w:rsid w:val="006F1094"/>
    <w:rsid w:val="006F483F"/>
    <w:rsid w:val="00703F87"/>
    <w:rsid w:val="00717362"/>
    <w:rsid w:val="0071765D"/>
    <w:rsid w:val="0072293B"/>
    <w:rsid w:val="007313A9"/>
    <w:rsid w:val="00731BC3"/>
    <w:rsid w:val="0074200C"/>
    <w:rsid w:val="00750B54"/>
    <w:rsid w:val="007654FB"/>
    <w:rsid w:val="0076720D"/>
    <w:rsid w:val="00781A40"/>
    <w:rsid w:val="00792579"/>
    <w:rsid w:val="007A038D"/>
    <w:rsid w:val="007A6896"/>
    <w:rsid w:val="007C1FE5"/>
    <w:rsid w:val="007D16B7"/>
    <w:rsid w:val="007D1E6F"/>
    <w:rsid w:val="007E04F4"/>
    <w:rsid w:val="0081562F"/>
    <w:rsid w:val="00833AC0"/>
    <w:rsid w:val="00844E6B"/>
    <w:rsid w:val="00856C9B"/>
    <w:rsid w:val="00876028"/>
    <w:rsid w:val="00887759"/>
    <w:rsid w:val="008D3E81"/>
    <w:rsid w:val="008E77D2"/>
    <w:rsid w:val="008F6B6C"/>
    <w:rsid w:val="00912A54"/>
    <w:rsid w:val="009322CB"/>
    <w:rsid w:val="00944110"/>
    <w:rsid w:val="00984E2F"/>
    <w:rsid w:val="00991718"/>
    <w:rsid w:val="009E5C81"/>
    <w:rsid w:val="009F7809"/>
    <w:rsid w:val="00A01B71"/>
    <w:rsid w:val="00A20CDE"/>
    <w:rsid w:val="00A21DBE"/>
    <w:rsid w:val="00A33338"/>
    <w:rsid w:val="00A568E1"/>
    <w:rsid w:val="00A72279"/>
    <w:rsid w:val="00A77533"/>
    <w:rsid w:val="00A97089"/>
    <w:rsid w:val="00AA288D"/>
    <w:rsid w:val="00AC0F9A"/>
    <w:rsid w:val="00AC43DE"/>
    <w:rsid w:val="00AC58B3"/>
    <w:rsid w:val="00AC7C2A"/>
    <w:rsid w:val="00AD5E77"/>
    <w:rsid w:val="00AD7F8F"/>
    <w:rsid w:val="00AE55D4"/>
    <w:rsid w:val="00AF3BAE"/>
    <w:rsid w:val="00AF7900"/>
    <w:rsid w:val="00B05744"/>
    <w:rsid w:val="00B23F60"/>
    <w:rsid w:val="00B30823"/>
    <w:rsid w:val="00B47ACF"/>
    <w:rsid w:val="00B546A6"/>
    <w:rsid w:val="00B60D90"/>
    <w:rsid w:val="00B833FB"/>
    <w:rsid w:val="00B922C9"/>
    <w:rsid w:val="00BC4186"/>
    <w:rsid w:val="00BC622D"/>
    <w:rsid w:val="00BF1601"/>
    <w:rsid w:val="00C00B9F"/>
    <w:rsid w:val="00C12645"/>
    <w:rsid w:val="00C17265"/>
    <w:rsid w:val="00C42837"/>
    <w:rsid w:val="00C55FC2"/>
    <w:rsid w:val="00C708D0"/>
    <w:rsid w:val="00C8172C"/>
    <w:rsid w:val="00CA405F"/>
    <w:rsid w:val="00CC1DC8"/>
    <w:rsid w:val="00CC4BBA"/>
    <w:rsid w:val="00CF2310"/>
    <w:rsid w:val="00CF4148"/>
    <w:rsid w:val="00CF4C6D"/>
    <w:rsid w:val="00D23270"/>
    <w:rsid w:val="00D54F0B"/>
    <w:rsid w:val="00D8348B"/>
    <w:rsid w:val="00D85EA8"/>
    <w:rsid w:val="00DA2D24"/>
    <w:rsid w:val="00DE358D"/>
    <w:rsid w:val="00E02D59"/>
    <w:rsid w:val="00E30AD2"/>
    <w:rsid w:val="00E44EC8"/>
    <w:rsid w:val="00E4598F"/>
    <w:rsid w:val="00E45BB9"/>
    <w:rsid w:val="00E47079"/>
    <w:rsid w:val="00E478C4"/>
    <w:rsid w:val="00E549E2"/>
    <w:rsid w:val="00E60C27"/>
    <w:rsid w:val="00E6165A"/>
    <w:rsid w:val="00E77709"/>
    <w:rsid w:val="00E91C82"/>
    <w:rsid w:val="00EA1EAC"/>
    <w:rsid w:val="00EF4992"/>
    <w:rsid w:val="00F1218F"/>
    <w:rsid w:val="00F155BE"/>
    <w:rsid w:val="00F50331"/>
    <w:rsid w:val="00F506BF"/>
    <w:rsid w:val="00F558E2"/>
    <w:rsid w:val="00F63A8E"/>
    <w:rsid w:val="00F67B37"/>
    <w:rsid w:val="00F70001"/>
    <w:rsid w:val="00F708FF"/>
    <w:rsid w:val="00F90FCE"/>
    <w:rsid w:val="00FB73AE"/>
    <w:rsid w:val="00FC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E1A92"/>
  <w15:chartTrackingRefBased/>
  <w15:docId w15:val="{26396DE0-6C28-452D-B023-FD22DEBF7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3B5"/>
    <w:rPr>
      <w:color w:val="0000FF"/>
      <w:u w:val="single"/>
    </w:rPr>
  </w:style>
  <w:style w:type="table" w:styleId="TableGrid">
    <w:name w:val="Table Grid"/>
    <w:basedOn w:val="TableNormal"/>
    <w:uiPriority w:val="39"/>
    <w:rsid w:val="00155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1">
    <w:name w:val="Medium List 2 Accent 1"/>
    <w:basedOn w:val="TableNormal"/>
    <w:uiPriority w:val="66"/>
    <w:rsid w:val="00155AF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alendar1">
    <w:name w:val="Calendar 1"/>
    <w:basedOn w:val="TableNormal"/>
    <w:uiPriority w:val="99"/>
    <w:qFormat/>
    <w:rsid w:val="00155AF3"/>
    <w:pPr>
      <w:spacing w:after="0" w:line="240" w:lineRule="auto"/>
    </w:pPr>
    <w:rPr>
      <w:rFonts w:eastAsiaTheme="minorEastAsia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">
    <w:name w:val="Light List"/>
    <w:basedOn w:val="TableNormal"/>
    <w:uiPriority w:val="61"/>
    <w:rsid w:val="00155AF3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155AF3"/>
    <w:pPr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155AF3"/>
    <w:pPr>
      <w:spacing w:after="0" w:line="240" w:lineRule="auto"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55AF3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155AF3"/>
    <w:rPr>
      <w:i/>
      <w:iCs/>
    </w:rPr>
  </w:style>
  <w:style w:type="table" w:styleId="LightShading-Accent1">
    <w:name w:val="Light Shading Accent 1"/>
    <w:basedOn w:val="TableNormal"/>
    <w:uiPriority w:val="60"/>
    <w:rsid w:val="00155AF3"/>
    <w:pPr>
      <w:spacing w:after="0" w:line="240" w:lineRule="auto"/>
    </w:pPr>
    <w:rPr>
      <w:rFonts w:eastAsiaTheme="minorEastAsia"/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PlainTable2">
    <w:name w:val="Plain Table 2"/>
    <w:basedOn w:val="TableNormal"/>
    <w:uiPriority w:val="42"/>
    <w:rsid w:val="00155AF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AC0F9A"/>
    <w:pPr>
      <w:autoSpaceDE w:val="0"/>
      <w:autoSpaceDN w:val="0"/>
      <w:adjustRightInd w:val="0"/>
      <w:spacing w:after="0" w:line="240" w:lineRule="auto"/>
    </w:pPr>
    <w:rPr>
      <w:rFonts w:ascii="NaomiSans EFN" w:hAnsi="NaomiSans EFN" w:cs="NaomiSans EF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D38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3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3A8E"/>
  </w:style>
  <w:style w:type="paragraph" w:styleId="Footer">
    <w:name w:val="footer"/>
    <w:basedOn w:val="Normal"/>
    <w:link w:val="FooterChar"/>
    <w:uiPriority w:val="99"/>
    <w:unhideWhenUsed/>
    <w:rsid w:val="00F63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EF655-B3FA-4846-AE49-F8377B809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1684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pc</cp:lastModifiedBy>
  <cp:revision>11</cp:revision>
  <cp:lastPrinted>2022-06-15T15:37:00Z</cp:lastPrinted>
  <dcterms:created xsi:type="dcterms:W3CDTF">2022-06-15T13:56:00Z</dcterms:created>
  <dcterms:modified xsi:type="dcterms:W3CDTF">2022-06-15T15:38:00Z</dcterms:modified>
</cp:coreProperties>
</file>